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C95B5" w14:textId="77777777" w:rsidR="00AE5F7B" w:rsidRDefault="00AE5F7B">
      <w:pPr>
        <w:pStyle w:val="BodyText"/>
        <w:rPr>
          <w:rFonts w:ascii="Times New Roman"/>
          <w:sz w:val="20"/>
        </w:rPr>
      </w:pPr>
    </w:p>
    <w:p w14:paraId="4A28028A" w14:textId="77777777" w:rsidR="00AE5F7B" w:rsidRDefault="00AE5F7B">
      <w:pPr>
        <w:pStyle w:val="BodyText"/>
        <w:spacing w:before="8"/>
        <w:rPr>
          <w:rFonts w:ascii="Times New Roman"/>
          <w:sz w:val="18"/>
        </w:rPr>
      </w:pPr>
    </w:p>
    <w:p w14:paraId="7BF65467" w14:textId="77777777" w:rsidR="00AE5F7B" w:rsidRDefault="000C73C5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7C983C" wp14:editId="74E8E260">
            <wp:simplePos x="0" y="0"/>
            <wp:positionH relativeFrom="page">
              <wp:posOffset>201295</wp:posOffset>
            </wp:positionH>
            <wp:positionV relativeFrom="paragraph">
              <wp:posOffset>-279884</wp:posOffset>
            </wp:positionV>
            <wp:extent cx="1064855" cy="10604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5" cy="106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8-_Recreation_Therapist_(694)"/>
      <w:bookmarkEnd w:id="0"/>
      <w:r>
        <w:rPr>
          <w:color w:val="4F2583"/>
          <w:spacing w:val="21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2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2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3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3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3410DF51" w14:textId="77777777" w:rsidR="00AE5F7B" w:rsidRDefault="000C73C5">
      <w:pPr>
        <w:pStyle w:val="Heading2"/>
        <w:spacing w:before="279"/>
        <w:ind w:left="1117" w:right="364"/>
      </w:pPr>
      <w:r>
        <w:t>Social</w:t>
      </w:r>
      <w:r>
        <w:rPr>
          <w:spacing w:val="-7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0653EF7C" w14:textId="77777777" w:rsidR="00AE5F7B" w:rsidRDefault="000C73C5">
      <w:pPr>
        <w:spacing w:line="285" w:lineRule="exact"/>
        <w:ind w:left="1116" w:right="364"/>
        <w:jc w:val="center"/>
        <w:rPr>
          <w:b/>
          <w:sz w:val="24"/>
        </w:rPr>
      </w:pPr>
      <w:r>
        <w:rPr>
          <w:b/>
          <w:spacing w:val="-2"/>
          <w:sz w:val="24"/>
        </w:rPr>
        <w:t>Request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Vendorization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5D171F58" w14:textId="77777777" w:rsidR="00AE5F7B" w:rsidRDefault="00AE5F7B">
      <w:pPr>
        <w:pStyle w:val="BodyText"/>
        <w:rPr>
          <w:b/>
          <w:sz w:val="20"/>
        </w:rPr>
      </w:pPr>
    </w:p>
    <w:p w14:paraId="5B1A4EC1" w14:textId="77777777" w:rsidR="00AE5F7B" w:rsidRDefault="00AE5F7B">
      <w:pPr>
        <w:pStyle w:val="BodyText"/>
        <w:spacing w:before="7"/>
        <w:rPr>
          <w:b/>
          <w:sz w:val="19"/>
        </w:rPr>
      </w:pPr>
    </w:p>
    <w:p w14:paraId="54C76F8F" w14:textId="5EAEA9B2" w:rsidR="00AE5F7B" w:rsidRDefault="000C73C5" w:rsidP="000C73C5">
      <w:pPr>
        <w:spacing w:before="55"/>
        <w:ind w:left="880"/>
        <w:jc w:val="both"/>
      </w:pPr>
      <w:r>
        <w:rPr>
          <w:b/>
          <w:w w:val="95"/>
        </w:rPr>
        <w:t>PROJECT</w:t>
      </w:r>
      <w:r>
        <w:rPr>
          <w:b/>
          <w:spacing w:val="-2"/>
        </w:rPr>
        <w:t xml:space="preserve"> </w:t>
      </w:r>
      <w:r>
        <w:rPr>
          <w:b/>
          <w:w w:val="95"/>
        </w:rPr>
        <w:t>#8:</w:t>
      </w:r>
      <w:r>
        <w:rPr>
          <w:b/>
          <w:spacing w:val="3"/>
        </w:rPr>
        <w:t xml:space="preserve"> </w:t>
      </w:r>
      <w:r>
        <w:rPr>
          <w:w w:val="95"/>
        </w:rPr>
        <w:t>Recreational</w:t>
      </w:r>
      <w:r>
        <w:t xml:space="preserve"> </w:t>
      </w:r>
      <w:r>
        <w:rPr>
          <w:w w:val="95"/>
        </w:rPr>
        <w:t>Therapist</w:t>
      </w:r>
      <w:r>
        <w:rPr>
          <w:spacing w:val="8"/>
        </w:rPr>
        <w:t xml:space="preserve"> </w:t>
      </w:r>
      <w:r>
        <w:rPr>
          <w:spacing w:val="-2"/>
          <w:w w:val="95"/>
        </w:rPr>
        <w:t>(694)</w:t>
      </w:r>
    </w:p>
    <w:p w14:paraId="020F98EB" w14:textId="77777777" w:rsidR="00AE5F7B" w:rsidRDefault="000C73C5">
      <w:pPr>
        <w:spacing w:line="268" w:lineRule="exact"/>
        <w:ind w:left="880"/>
      </w:pPr>
      <w:r>
        <w:rPr>
          <w:b/>
        </w:rPr>
        <w:t>DEADLINE</w:t>
      </w:r>
      <w:r>
        <w:rPr>
          <w:b/>
          <w:spacing w:val="-13"/>
        </w:rPr>
        <w:t xml:space="preserve"> </w:t>
      </w:r>
      <w:r>
        <w:rPr>
          <w:b/>
        </w:rPr>
        <w:t>FOR</w:t>
      </w:r>
      <w:r>
        <w:rPr>
          <w:b/>
          <w:spacing w:val="-12"/>
        </w:rPr>
        <w:t xml:space="preserve"> </w:t>
      </w:r>
      <w:r>
        <w:rPr>
          <w:b/>
        </w:rPr>
        <w:t>SUBMISSION:</w:t>
      </w:r>
      <w:r>
        <w:rPr>
          <w:b/>
          <w:spacing w:val="-13"/>
        </w:rPr>
        <w:t xml:space="preserve"> </w:t>
      </w:r>
      <w:r>
        <w:t>Ongoing</w:t>
      </w:r>
      <w:r>
        <w:rPr>
          <w:spacing w:val="-12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resource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rPr>
          <w:spacing w:val="-2"/>
        </w:rPr>
        <w:t>declines</w:t>
      </w:r>
    </w:p>
    <w:p w14:paraId="2B6A2C4A" w14:textId="77777777" w:rsidR="00AE5F7B" w:rsidRDefault="00AE5F7B">
      <w:pPr>
        <w:pStyle w:val="BodyText"/>
      </w:pPr>
    </w:p>
    <w:p w14:paraId="2331E037" w14:textId="77777777" w:rsidR="00AE5F7B" w:rsidRDefault="000C73C5">
      <w:pPr>
        <w:pStyle w:val="Heading3"/>
        <w:ind w:left="880"/>
      </w:pPr>
      <w:r>
        <w:rPr>
          <w:w w:val="95"/>
        </w:rPr>
        <w:t>PROJECT</w:t>
      </w:r>
      <w:r>
        <w:rPr>
          <w:spacing w:val="20"/>
        </w:rPr>
        <w:t xml:space="preserve"> </w:t>
      </w:r>
      <w:r>
        <w:rPr>
          <w:spacing w:val="-2"/>
        </w:rPr>
        <w:t>OVERVIEW</w:t>
      </w:r>
    </w:p>
    <w:p w14:paraId="4B73537B" w14:textId="77777777" w:rsidR="00AE5F7B" w:rsidRDefault="000C73C5">
      <w:pPr>
        <w:pStyle w:val="BodyText"/>
        <w:ind w:left="879" w:right="119"/>
        <w:jc w:val="both"/>
      </w:pPr>
      <w:r>
        <w:t>The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Angeles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(NLACRC)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releasing</w:t>
      </w:r>
      <w:r>
        <w:rPr>
          <w:spacing w:val="-3"/>
        </w:rPr>
        <w:t xml:space="preserve"> </w:t>
      </w:r>
      <w:r>
        <w:t>this Request for Vendorization (RFV) to seek qualified and experienced Recreational Therapists to provide non- medical therapies or services, used alongside evidence-based interventions/conventional treatments, for children and adults found eligible for re</w:t>
      </w:r>
      <w:r>
        <w:t>gional center services to achieve an Individual Family Service Plan (IFSP) or an Individual Program Plan (IPP) objective.</w:t>
      </w:r>
    </w:p>
    <w:p w14:paraId="225663B0" w14:textId="77777777" w:rsidR="00AE5F7B" w:rsidRDefault="00AE5F7B">
      <w:pPr>
        <w:pStyle w:val="BodyText"/>
        <w:spacing w:before="4"/>
      </w:pPr>
    </w:p>
    <w:p w14:paraId="673B0DC8" w14:textId="77777777" w:rsidR="00AE5F7B" w:rsidRDefault="000C73C5">
      <w:pPr>
        <w:pStyle w:val="Heading3"/>
        <w:ind w:left="879"/>
      </w:pPr>
      <w:bookmarkStart w:id="1" w:name="INDIVIDUALS_TO_BE_SERVED"/>
      <w:bookmarkEnd w:id="1"/>
      <w:r>
        <w:rPr>
          <w:spacing w:val="-2"/>
        </w:rPr>
        <w:t>INDIVIDUALS</w:t>
      </w:r>
      <w:r>
        <w:rPr>
          <w:spacing w:val="-3"/>
        </w:rPr>
        <w:t xml:space="preserve"> </w:t>
      </w:r>
      <w:r>
        <w:rPr>
          <w:spacing w:val="-2"/>
        </w:rPr>
        <w:t>TO BE</w:t>
      </w:r>
      <w:r>
        <w:rPr>
          <w:spacing w:val="-3"/>
        </w:rPr>
        <w:t xml:space="preserve"> </w:t>
      </w:r>
      <w:r>
        <w:rPr>
          <w:spacing w:val="-2"/>
        </w:rPr>
        <w:t>SERVED</w:t>
      </w:r>
    </w:p>
    <w:p w14:paraId="5F8CB05C" w14:textId="77777777" w:rsidR="00AE5F7B" w:rsidRDefault="000C73C5">
      <w:pPr>
        <w:pStyle w:val="BodyText"/>
        <w:spacing w:before="17" w:line="259" w:lineRule="auto"/>
        <w:ind w:left="879" w:right="117"/>
        <w:jc w:val="both"/>
      </w:pPr>
      <w:r>
        <w:t>Recreational Therapy is designed to maximize and strengthen an individual’s interaction and skills through leisure activities. Non-medical therapies, including Recreational Therapy, are provided to children and adults 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s</w:t>
      </w:r>
      <w:r>
        <w:t>ervices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socialization</w:t>
      </w:r>
      <w:r>
        <w:rPr>
          <w:spacing w:val="-2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using therapeutic modalities to mitigate social skill challenges. These non-medical therapies can provide family supports through planned relief, improve social skills, and support hab</w:t>
      </w:r>
      <w:r>
        <w:t>ilitative services.</w:t>
      </w:r>
      <w:r>
        <w:rPr>
          <w:spacing w:val="40"/>
        </w:rPr>
        <w:t xml:space="preserve"> </w:t>
      </w:r>
      <w:r>
        <w:t>Non-medical therapies can also provide individuals opportunities in both</w:t>
      </w:r>
      <w:r>
        <w:rPr>
          <w:spacing w:val="40"/>
        </w:rPr>
        <w:t xml:space="preserve"> </w:t>
      </w:r>
      <w:r>
        <w:t>integrated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specialized settings to engage in hobbies, participate in recreational events, and pursue leisure interests.</w:t>
      </w:r>
    </w:p>
    <w:p w14:paraId="3356992E" w14:textId="77777777" w:rsidR="00AE5F7B" w:rsidRDefault="00AE5F7B">
      <w:pPr>
        <w:pStyle w:val="BodyText"/>
        <w:spacing w:before="2"/>
        <w:rPr>
          <w:sz w:val="20"/>
        </w:rPr>
      </w:pPr>
    </w:p>
    <w:p w14:paraId="1C3F58CC" w14:textId="77777777" w:rsidR="00AE5F7B" w:rsidRDefault="000C73C5">
      <w:pPr>
        <w:pStyle w:val="Heading3"/>
        <w:ind w:left="879"/>
      </w:pPr>
      <w:bookmarkStart w:id="2" w:name="ADMISSION_CRITERIA"/>
      <w:bookmarkEnd w:id="2"/>
      <w:r>
        <w:rPr>
          <w:w w:val="95"/>
        </w:rPr>
        <w:t>ADMISSION</w:t>
      </w:r>
      <w:r>
        <w:rPr>
          <w:spacing w:val="30"/>
        </w:rPr>
        <w:t xml:space="preserve"> </w:t>
      </w:r>
      <w:r>
        <w:rPr>
          <w:spacing w:val="-2"/>
          <w:w w:val="95"/>
        </w:rPr>
        <w:t>CRITERIA</w:t>
      </w:r>
    </w:p>
    <w:p w14:paraId="453E50D7" w14:textId="77777777" w:rsidR="00AE5F7B" w:rsidRDefault="000C73C5">
      <w:pPr>
        <w:pStyle w:val="BodyText"/>
        <w:ind w:left="880" w:right="359" w:hanging="2"/>
      </w:pPr>
      <w:r>
        <w:t>Applicants should d</w:t>
      </w:r>
      <w:r>
        <w:t xml:space="preserve">esign a program that is equipped to meet the specialized needs of </w:t>
      </w:r>
      <w:r>
        <w:rPr>
          <w:sz w:val="23"/>
        </w:rPr>
        <w:t>individual</w:t>
      </w:r>
      <w:r>
        <w:t>s whose diagnoses are likely to include the following:</w:t>
      </w:r>
    </w:p>
    <w:p w14:paraId="02B033EE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  <w:spacing w:before="2"/>
      </w:pPr>
      <w:r>
        <w:t>Mild</w:t>
      </w:r>
      <w:r>
        <w:rPr>
          <w:spacing w:val="2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moderate</w:t>
      </w:r>
      <w:r>
        <w:rPr>
          <w:spacing w:val="-12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cognitive</w:t>
      </w:r>
      <w:r>
        <w:rPr>
          <w:spacing w:val="-10"/>
        </w:rPr>
        <w:t xml:space="preserve"> </w:t>
      </w:r>
      <w:r>
        <w:rPr>
          <w:spacing w:val="-2"/>
        </w:rPr>
        <w:t>deficit</w:t>
      </w:r>
    </w:p>
    <w:p w14:paraId="3CC4F38C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  <w:spacing w:before="1" w:line="280" w:lineRule="exact"/>
      </w:pPr>
      <w:r>
        <w:rPr>
          <w:w w:val="95"/>
        </w:rPr>
        <w:t>Autism</w:t>
      </w:r>
      <w:r>
        <w:rPr>
          <w:spacing w:val="11"/>
        </w:rPr>
        <w:t xml:space="preserve"> </w:t>
      </w:r>
      <w:r>
        <w:rPr>
          <w:w w:val="95"/>
        </w:rPr>
        <w:t>and</w:t>
      </w:r>
      <w:r>
        <w:rPr>
          <w:spacing w:val="16"/>
        </w:rPr>
        <w:t xml:space="preserve"> </w:t>
      </w:r>
      <w:r>
        <w:rPr>
          <w:w w:val="95"/>
        </w:rPr>
        <w:t>Autism</w:t>
      </w:r>
      <w:r>
        <w:rPr>
          <w:spacing w:val="17"/>
        </w:rPr>
        <w:t xml:space="preserve"> </w:t>
      </w:r>
      <w:r>
        <w:rPr>
          <w:w w:val="95"/>
        </w:rPr>
        <w:t>Spectrum</w:t>
      </w:r>
      <w:r>
        <w:rPr>
          <w:spacing w:val="16"/>
        </w:rPr>
        <w:t xml:space="preserve"> </w:t>
      </w:r>
      <w:r>
        <w:rPr>
          <w:spacing w:val="-2"/>
          <w:w w:val="95"/>
        </w:rPr>
        <w:t>Disorders</w:t>
      </w:r>
    </w:p>
    <w:p w14:paraId="6AC023A4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  <w:spacing w:line="280" w:lineRule="exact"/>
      </w:pPr>
      <w:r>
        <w:rPr>
          <w:spacing w:val="-2"/>
        </w:rPr>
        <w:t>Seizure</w:t>
      </w:r>
      <w:r>
        <w:rPr>
          <w:spacing w:val="-3"/>
        </w:rPr>
        <w:t xml:space="preserve"> </w:t>
      </w:r>
      <w:r>
        <w:rPr>
          <w:spacing w:val="-2"/>
        </w:rPr>
        <w:t>Disorders</w:t>
      </w:r>
    </w:p>
    <w:p w14:paraId="68243CFE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</w:pPr>
      <w:r>
        <w:rPr>
          <w:w w:val="95"/>
        </w:rPr>
        <w:t>Mental</w:t>
      </w:r>
      <w:r>
        <w:rPr>
          <w:spacing w:val="25"/>
        </w:rPr>
        <w:t xml:space="preserve"> </w:t>
      </w:r>
      <w:r>
        <w:rPr>
          <w:w w:val="95"/>
        </w:rPr>
        <w:t>Illness/Psychiatric</w:t>
      </w:r>
      <w:r>
        <w:rPr>
          <w:spacing w:val="30"/>
        </w:rPr>
        <w:t xml:space="preserve"> </w:t>
      </w:r>
      <w:r>
        <w:rPr>
          <w:spacing w:val="-2"/>
          <w:w w:val="95"/>
        </w:rPr>
        <w:t>Diagnosis</w:t>
      </w:r>
    </w:p>
    <w:p w14:paraId="5144C420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  <w:spacing w:before="1" w:line="280" w:lineRule="exact"/>
      </w:pPr>
      <w:r>
        <w:t>Need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community.</w:t>
      </w:r>
    </w:p>
    <w:p w14:paraId="5624D006" w14:textId="77777777" w:rsidR="00AE5F7B" w:rsidRDefault="000C73C5">
      <w:pPr>
        <w:pStyle w:val="ListParagraph"/>
        <w:numPr>
          <w:ilvl w:val="0"/>
          <w:numId w:val="7"/>
        </w:numPr>
        <w:tabs>
          <w:tab w:val="left" w:pos="2319"/>
          <w:tab w:val="left" w:pos="2320"/>
        </w:tabs>
        <w:spacing w:line="280" w:lineRule="exact"/>
      </w:pPr>
      <w:r>
        <w:rPr>
          <w:w w:val="95"/>
        </w:rPr>
        <w:t>Non-ambulatory</w:t>
      </w:r>
      <w:r>
        <w:rPr>
          <w:spacing w:val="12"/>
        </w:rPr>
        <w:t xml:space="preserve"> </w:t>
      </w:r>
      <w:r>
        <w:rPr>
          <w:w w:val="95"/>
        </w:rPr>
        <w:t>with</w:t>
      </w:r>
      <w:r>
        <w:rPr>
          <w:spacing w:val="16"/>
        </w:rPr>
        <w:t xml:space="preserve"> </w:t>
      </w:r>
      <w:r>
        <w:rPr>
          <w:w w:val="95"/>
        </w:rPr>
        <w:t>mild</w:t>
      </w:r>
      <w:r>
        <w:rPr>
          <w:spacing w:val="16"/>
        </w:rPr>
        <w:t xml:space="preserve"> </w:t>
      </w:r>
      <w:r>
        <w:rPr>
          <w:w w:val="95"/>
        </w:rPr>
        <w:t>to</w:t>
      </w:r>
      <w:r>
        <w:rPr>
          <w:spacing w:val="14"/>
        </w:rPr>
        <w:t xml:space="preserve"> </w:t>
      </w:r>
      <w:r>
        <w:rPr>
          <w:w w:val="95"/>
        </w:rPr>
        <w:t>severe</w:t>
      </w:r>
      <w:r>
        <w:rPr>
          <w:spacing w:val="16"/>
        </w:rPr>
        <w:t xml:space="preserve"> </w:t>
      </w:r>
      <w:r>
        <w:rPr>
          <w:w w:val="95"/>
        </w:rPr>
        <w:t>mobility</w:t>
      </w:r>
      <w:r>
        <w:rPr>
          <w:spacing w:val="19"/>
        </w:rPr>
        <w:t xml:space="preserve"> </w:t>
      </w:r>
      <w:r>
        <w:rPr>
          <w:spacing w:val="-2"/>
          <w:w w:val="95"/>
        </w:rPr>
        <w:t>challenges</w:t>
      </w:r>
    </w:p>
    <w:p w14:paraId="5D4D4C32" w14:textId="77777777" w:rsidR="00AE5F7B" w:rsidRDefault="00AE5F7B">
      <w:pPr>
        <w:pStyle w:val="BodyText"/>
        <w:spacing w:before="6"/>
        <w:rPr>
          <w:sz w:val="23"/>
        </w:rPr>
      </w:pPr>
    </w:p>
    <w:p w14:paraId="79710815" w14:textId="77777777" w:rsidR="00AE5F7B" w:rsidRDefault="000C73C5">
      <w:pPr>
        <w:pStyle w:val="Heading3"/>
        <w:spacing w:line="268" w:lineRule="exact"/>
        <w:ind w:left="880"/>
      </w:pPr>
      <w:bookmarkStart w:id="3" w:name="PROPOSED_MODELS_OF_SERVICE"/>
      <w:bookmarkEnd w:id="3"/>
      <w:r>
        <w:rPr>
          <w:w w:val="95"/>
        </w:rPr>
        <w:t>PROPOSED</w:t>
      </w:r>
      <w:r>
        <w:rPr>
          <w:spacing w:val="20"/>
        </w:rPr>
        <w:t xml:space="preserve"> </w:t>
      </w:r>
      <w:r>
        <w:rPr>
          <w:w w:val="95"/>
        </w:rPr>
        <w:t>MODELS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17"/>
        </w:rPr>
        <w:t xml:space="preserve"> </w:t>
      </w:r>
      <w:r>
        <w:rPr>
          <w:spacing w:val="-2"/>
          <w:w w:val="95"/>
        </w:rPr>
        <w:t>SERVICE</w:t>
      </w:r>
    </w:p>
    <w:p w14:paraId="004FF961" w14:textId="77777777" w:rsidR="00AE5F7B" w:rsidRDefault="000C73C5">
      <w:pPr>
        <w:pStyle w:val="BodyText"/>
        <w:ind w:left="879" w:right="118"/>
        <w:jc w:val="both"/>
      </w:pPr>
      <w:r>
        <w:t>All</w:t>
      </w:r>
      <w:r>
        <w:rPr>
          <w:spacing w:val="-2"/>
        </w:rPr>
        <w:t xml:space="preserve"> </w:t>
      </w:r>
      <w:r>
        <w:t>non-medical</w:t>
      </w:r>
      <w:r>
        <w:rPr>
          <w:spacing w:val="-2"/>
        </w:rPr>
        <w:t xml:space="preserve"> </w:t>
      </w:r>
      <w:r>
        <w:t>therapies 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evidence-based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habilitative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NLACRC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the statutory authority to purchase. It is the policy of NLACRC to refrain from purchasing non-medical therapies as therapeutic/medical treatment, as non-medical therapies have ye</w:t>
      </w:r>
      <w:r>
        <w:t>t to demonstrate efficacy and evidence of effectiveness</w:t>
      </w:r>
      <w:r>
        <w:rPr>
          <w:spacing w:val="-1"/>
        </w:rPr>
        <w:t xml:space="preserve"> </w:t>
      </w:r>
      <w:r>
        <w:t>as clinical</w:t>
      </w:r>
      <w:r>
        <w:rPr>
          <w:spacing w:val="-2"/>
        </w:rPr>
        <w:t xml:space="preserve"> </w:t>
      </w:r>
      <w:r>
        <w:t>therapies.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know,</w:t>
      </w:r>
      <w:r>
        <w:rPr>
          <w:spacing w:val="-2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statutory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purchase experimental treatments, therapeutic services, or devices that have not been clinically determined </w:t>
      </w:r>
      <w:r>
        <w:t xml:space="preserve">or scientifically proven to be effective or safe, or for which </w:t>
      </w:r>
      <w:proofErr w:type="gramStart"/>
      <w:r>
        <w:t>risks</w:t>
      </w:r>
      <w:proofErr w:type="gramEnd"/>
      <w:r>
        <w:t xml:space="preserve"> and complications are unknown. Experimental treatments or therapeutic services include experimental medical or nutritional therapy when the use of the product for that purpose is not a ge</w:t>
      </w:r>
      <w:r>
        <w:t>neral physician practice.</w:t>
      </w:r>
    </w:p>
    <w:p w14:paraId="171EB982" w14:textId="77777777" w:rsidR="00AE5F7B" w:rsidRDefault="00AE5F7B">
      <w:pPr>
        <w:pStyle w:val="BodyText"/>
        <w:spacing w:before="5"/>
        <w:rPr>
          <w:sz w:val="18"/>
        </w:rPr>
      </w:pPr>
    </w:p>
    <w:p w14:paraId="10BF7DB5" w14:textId="77777777" w:rsidR="00AE5F7B" w:rsidRDefault="000C73C5">
      <w:pPr>
        <w:pStyle w:val="BodyText"/>
        <w:ind w:left="879" w:right="359"/>
      </w:pPr>
      <w:r>
        <w:t>Recreational Therapy will be provided on a time-limited basis to accomplish various activities indicated within</w:t>
      </w:r>
      <w:r>
        <w:rPr>
          <w:spacing w:val="40"/>
        </w:rPr>
        <w:t xml:space="preserve"> </w:t>
      </w:r>
      <w:r>
        <w:t>the individual’s Individual Family Service Plan (IFSP) or Individual Program Plan (IPP).</w:t>
      </w:r>
    </w:p>
    <w:p w14:paraId="1D46438E" w14:textId="77777777" w:rsidR="00AE5F7B" w:rsidRDefault="00AE5F7B">
      <w:pPr>
        <w:sectPr w:rsidR="00AE5F7B">
          <w:type w:val="continuous"/>
          <w:pgSz w:w="12240" w:h="15840"/>
          <w:pgMar w:top="380" w:right="960" w:bottom="280" w:left="200" w:header="720" w:footer="720" w:gutter="0"/>
          <w:cols w:space="720"/>
        </w:sectPr>
      </w:pPr>
    </w:p>
    <w:p w14:paraId="2B9A7077" w14:textId="77777777" w:rsidR="00AE5F7B" w:rsidRDefault="00AE5F7B">
      <w:pPr>
        <w:pStyle w:val="BodyText"/>
        <w:rPr>
          <w:sz w:val="20"/>
        </w:rPr>
      </w:pPr>
    </w:p>
    <w:p w14:paraId="5ED95507" w14:textId="77777777" w:rsidR="00AE5F7B" w:rsidRDefault="00AE5F7B">
      <w:pPr>
        <w:pStyle w:val="BodyText"/>
        <w:spacing w:before="5"/>
        <w:rPr>
          <w:sz w:val="16"/>
        </w:rPr>
      </w:pPr>
    </w:p>
    <w:p w14:paraId="529FD88A" w14:textId="77777777" w:rsidR="00AE5F7B" w:rsidRDefault="000C73C5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418000" wp14:editId="5CD8550B">
            <wp:simplePos x="0" y="0"/>
            <wp:positionH relativeFrom="page">
              <wp:posOffset>201295</wp:posOffset>
            </wp:positionH>
            <wp:positionV relativeFrom="paragraph">
              <wp:posOffset>-279884</wp:posOffset>
            </wp:positionV>
            <wp:extent cx="1064855" cy="106044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5" cy="1060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2583"/>
          <w:spacing w:val="21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2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2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3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3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59430EA8" w14:textId="77777777" w:rsidR="00AE5F7B" w:rsidRDefault="000C73C5">
      <w:pPr>
        <w:pStyle w:val="Heading2"/>
        <w:spacing w:before="279"/>
        <w:ind w:left="1117" w:right="364"/>
      </w:pPr>
      <w:r>
        <w:t>Social</w:t>
      </w:r>
      <w:r>
        <w:rPr>
          <w:spacing w:val="-7"/>
        </w:rPr>
        <w:t xml:space="preserve"> </w:t>
      </w:r>
      <w:r>
        <w:t>Recreation,</w:t>
      </w:r>
      <w:r>
        <w:rPr>
          <w:spacing w:val="-3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5"/>
        </w:rPr>
        <w:t xml:space="preserve"> </w:t>
      </w:r>
      <w:r>
        <w:rPr>
          <w:spacing w:val="-2"/>
        </w:rPr>
        <w:t>Therapies</w:t>
      </w:r>
    </w:p>
    <w:p w14:paraId="7C962BC7" w14:textId="77777777" w:rsidR="00AE5F7B" w:rsidRDefault="000C73C5">
      <w:pPr>
        <w:spacing w:line="285" w:lineRule="exact"/>
        <w:ind w:left="1116" w:right="364"/>
        <w:jc w:val="center"/>
        <w:rPr>
          <w:b/>
          <w:sz w:val="24"/>
        </w:rPr>
      </w:pPr>
      <w:r>
        <w:rPr>
          <w:b/>
          <w:spacing w:val="-2"/>
          <w:sz w:val="24"/>
        </w:rPr>
        <w:t>Request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Vendorization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281A6EF3" w14:textId="77777777" w:rsidR="00AE5F7B" w:rsidRDefault="00AE5F7B">
      <w:pPr>
        <w:pStyle w:val="BodyText"/>
        <w:rPr>
          <w:b/>
          <w:sz w:val="20"/>
        </w:rPr>
      </w:pPr>
    </w:p>
    <w:p w14:paraId="191F2B49" w14:textId="77777777" w:rsidR="00AE5F7B" w:rsidRDefault="00AE5F7B">
      <w:pPr>
        <w:pStyle w:val="BodyText"/>
        <w:spacing w:before="7"/>
        <w:rPr>
          <w:b/>
          <w:sz w:val="19"/>
        </w:rPr>
      </w:pPr>
    </w:p>
    <w:p w14:paraId="5BCC3C2D" w14:textId="77777777" w:rsidR="00AE5F7B" w:rsidRDefault="000C73C5">
      <w:pPr>
        <w:pStyle w:val="Heading3"/>
        <w:spacing w:before="56"/>
        <w:ind w:left="880"/>
      </w:pPr>
      <w:bookmarkStart w:id="4" w:name="MINIMUM_QUALIFICATIONS_FOR_APPLICANTS"/>
      <w:bookmarkEnd w:id="4"/>
      <w:r>
        <w:rPr>
          <w:w w:val="95"/>
        </w:rPr>
        <w:t>MINIMUM</w:t>
      </w:r>
      <w:r>
        <w:rPr>
          <w:spacing w:val="29"/>
        </w:rPr>
        <w:t xml:space="preserve"> </w:t>
      </w:r>
      <w:r>
        <w:rPr>
          <w:w w:val="95"/>
        </w:rPr>
        <w:t>QUALIFICATIONS</w:t>
      </w:r>
      <w:r>
        <w:rPr>
          <w:spacing w:val="27"/>
        </w:rPr>
        <w:t xml:space="preserve"> </w:t>
      </w:r>
      <w:r>
        <w:rPr>
          <w:w w:val="95"/>
        </w:rPr>
        <w:t>FOR</w:t>
      </w:r>
      <w:r>
        <w:rPr>
          <w:spacing w:val="27"/>
        </w:rPr>
        <w:t xml:space="preserve"> </w:t>
      </w:r>
      <w:r>
        <w:rPr>
          <w:spacing w:val="-2"/>
          <w:w w:val="95"/>
        </w:rPr>
        <w:t>APPLICANTS</w:t>
      </w:r>
    </w:p>
    <w:p w14:paraId="452D6E14" w14:textId="77777777" w:rsidR="00AE5F7B" w:rsidRDefault="000C73C5">
      <w:pPr>
        <w:pStyle w:val="BodyText"/>
        <w:ind w:left="879" w:right="116"/>
        <w:jc w:val="both"/>
      </w:pP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Recreational Therapist must possess the skills, training, and education necessary to provide non-medical therapies</w:t>
      </w:r>
      <w:r>
        <w:rPr>
          <w:spacing w:val="-14"/>
          <w:w w:val="105"/>
        </w:rPr>
        <w:t xml:space="preserve"> </w:t>
      </w:r>
      <w:r>
        <w:rPr>
          <w:w w:val="105"/>
        </w:rPr>
        <w:t>alongside</w:t>
      </w:r>
      <w:r>
        <w:rPr>
          <w:spacing w:val="-13"/>
          <w:w w:val="105"/>
        </w:rPr>
        <w:t xml:space="preserve"> </w:t>
      </w:r>
      <w:r>
        <w:rPr>
          <w:w w:val="105"/>
        </w:rPr>
        <w:t>evidenced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convention.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Title</w:t>
      </w:r>
      <w:r>
        <w:rPr>
          <w:spacing w:val="-14"/>
          <w:w w:val="105"/>
        </w:rPr>
        <w:t xml:space="preserve"> </w:t>
      </w:r>
      <w:r>
        <w:rPr>
          <w:w w:val="105"/>
        </w:rPr>
        <w:t>17,</w:t>
      </w:r>
      <w:r>
        <w:rPr>
          <w:spacing w:val="-13"/>
          <w:w w:val="105"/>
        </w:rPr>
        <w:t xml:space="preserve"> </w:t>
      </w:r>
      <w:r>
        <w:rPr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54342(a)(65),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Recreational</w:t>
      </w:r>
      <w:r>
        <w:rPr>
          <w:spacing w:val="-13"/>
          <w:w w:val="105"/>
        </w:rPr>
        <w:t xml:space="preserve"> </w:t>
      </w:r>
      <w:r>
        <w:rPr>
          <w:w w:val="105"/>
        </w:rPr>
        <w:t>Therapist must posse</w:t>
      </w:r>
      <w:r>
        <w:rPr>
          <w:w w:val="105"/>
        </w:rPr>
        <w:t>ss a valid registration issued by the National Council for Therapeutic Recreation Certification or the California Board of Recreation and Park Certification and provides the following services:</w:t>
      </w:r>
    </w:p>
    <w:p w14:paraId="7AE4C609" w14:textId="77777777" w:rsidR="00AE5F7B" w:rsidRDefault="00AE5F7B">
      <w:pPr>
        <w:pStyle w:val="BodyText"/>
        <w:spacing w:before="12"/>
        <w:rPr>
          <w:sz w:val="21"/>
        </w:rPr>
      </w:pPr>
    </w:p>
    <w:p w14:paraId="358E4021" w14:textId="77777777" w:rsidR="00AE5F7B" w:rsidRDefault="000C73C5">
      <w:pPr>
        <w:pStyle w:val="ListParagraph"/>
        <w:numPr>
          <w:ilvl w:val="0"/>
          <w:numId w:val="6"/>
        </w:numPr>
        <w:tabs>
          <w:tab w:val="left" w:pos="2319"/>
          <w:tab w:val="left" w:pos="2320"/>
        </w:tabs>
        <w:spacing w:line="235" w:lineRule="auto"/>
        <w:ind w:right="572" w:hanging="347"/>
      </w:pPr>
      <w:r>
        <w:rPr>
          <w:w w:val="105"/>
        </w:rPr>
        <w:t>Uses</w:t>
      </w:r>
      <w:r>
        <w:rPr>
          <w:spacing w:val="-14"/>
          <w:w w:val="105"/>
        </w:rPr>
        <w:t xml:space="preserve"> </w:t>
      </w:r>
      <w:r>
        <w:rPr>
          <w:w w:val="105"/>
        </w:rPr>
        <w:t>self-motivating</w:t>
      </w:r>
      <w:r>
        <w:rPr>
          <w:spacing w:val="-13"/>
          <w:w w:val="105"/>
        </w:rPr>
        <w:t xml:space="preserve"> </w:t>
      </w:r>
      <w:r>
        <w:rPr>
          <w:w w:val="105"/>
        </w:rPr>
        <w:t>recreational</w:t>
      </w:r>
      <w:r>
        <w:rPr>
          <w:spacing w:val="-1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develop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>ndividual's</w:t>
      </w:r>
      <w:r>
        <w:rPr>
          <w:spacing w:val="-7"/>
          <w:w w:val="105"/>
        </w:rPr>
        <w:t xml:space="preserve"> </w:t>
      </w:r>
      <w:r>
        <w:rPr>
          <w:w w:val="105"/>
        </w:rPr>
        <w:t>motor</w:t>
      </w:r>
      <w:r>
        <w:rPr>
          <w:spacing w:val="-6"/>
          <w:w w:val="105"/>
        </w:rPr>
        <w:t xml:space="preserve"> </w:t>
      </w:r>
      <w:r>
        <w:rPr>
          <w:w w:val="105"/>
        </w:rPr>
        <w:t>skills,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social skills, sensory functioning, or acceptable </w:t>
      </w:r>
      <w:proofErr w:type="gramStart"/>
      <w:r>
        <w:rPr>
          <w:w w:val="105"/>
        </w:rPr>
        <w:t>behavior;</w:t>
      </w:r>
      <w:proofErr w:type="gramEnd"/>
    </w:p>
    <w:p w14:paraId="2D3F0B61" w14:textId="77777777" w:rsidR="00AE5F7B" w:rsidRDefault="000C73C5">
      <w:pPr>
        <w:pStyle w:val="ListParagraph"/>
        <w:numPr>
          <w:ilvl w:val="0"/>
          <w:numId w:val="6"/>
        </w:numPr>
        <w:tabs>
          <w:tab w:val="left" w:pos="2319"/>
          <w:tab w:val="left" w:pos="2320"/>
        </w:tabs>
        <w:spacing w:before="6"/>
        <w:ind w:left="2320"/>
      </w:pPr>
      <w:r>
        <w:rPr>
          <w:w w:val="105"/>
        </w:rPr>
        <w:t>Counsels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individual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recreation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leisure</w:t>
      </w:r>
      <w:r>
        <w:rPr>
          <w:spacing w:val="-10"/>
          <w:w w:val="105"/>
        </w:rPr>
        <w:t xml:space="preserve"> </w:t>
      </w:r>
      <w:r>
        <w:rPr>
          <w:w w:val="105"/>
        </w:rPr>
        <w:t>pursuits;</w:t>
      </w:r>
      <w:r>
        <w:rPr>
          <w:spacing w:val="-5"/>
          <w:w w:val="105"/>
        </w:rPr>
        <w:t xml:space="preserve"> and</w:t>
      </w:r>
    </w:p>
    <w:p w14:paraId="66A45676" w14:textId="77777777" w:rsidR="00AE5F7B" w:rsidRDefault="000C73C5">
      <w:pPr>
        <w:pStyle w:val="ListParagraph"/>
        <w:numPr>
          <w:ilvl w:val="0"/>
          <w:numId w:val="6"/>
        </w:numPr>
        <w:tabs>
          <w:tab w:val="left" w:pos="2319"/>
          <w:tab w:val="left" w:pos="2320"/>
        </w:tabs>
        <w:spacing w:before="5"/>
        <w:ind w:left="2320" w:hanging="361"/>
      </w:pPr>
      <w:r>
        <w:rPr>
          <w:w w:val="105"/>
        </w:rPr>
        <w:t>Provides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services</w:t>
      </w:r>
      <w:r>
        <w:rPr>
          <w:spacing w:val="-6"/>
          <w:w w:val="105"/>
        </w:rPr>
        <w:t xml:space="preserve"> </w:t>
      </w:r>
      <w:r>
        <w:rPr>
          <w:w w:val="105"/>
        </w:rPr>
        <w:t>consistent 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duties</w:t>
      </w:r>
      <w:r>
        <w:rPr>
          <w:spacing w:val="-11"/>
          <w:w w:val="105"/>
        </w:rPr>
        <w:t xml:space="preserve"> </w:t>
      </w:r>
      <w:r>
        <w:rPr>
          <w:w w:val="105"/>
        </w:rPr>
        <w:t>specified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(B)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above.</w:t>
      </w:r>
    </w:p>
    <w:p w14:paraId="4995DEFC" w14:textId="77777777" w:rsidR="00AE5F7B" w:rsidRDefault="00AE5F7B">
      <w:pPr>
        <w:pStyle w:val="BodyText"/>
        <w:rPr>
          <w:sz w:val="31"/>
        </w:rPr>
      </w:pPr>
    </w:p>
    <w:p w14:paraId="15983587" w14:textId="77777777" w:rsidR="00AE5F7B" w:rsidRDefault="000C73C5">
      <w:pPr>
        <w:pStyle w:val="Heading3"/>
        <w:ind w:left="879"/>
      </w:pPr>
      <w:bookmarkStart w:id="5" w:name="RATE_OF_REIMBURSEMENT"/>
      <w:bookmarkEnd w:id="5"/>
      <w:r>
        <w:t>RATE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REIMBURSEMENT</w:t>
      </w:r>
    </w:p>
    <w:p w14:paraId="0B4A3691" w14:textId="77777777" w:rsidR="00AE5F7B" w:rsidRDefault="000C73C5">
      <w:pPr>
        <w:pStyle w:val="BodyText"/>
        <w:spacing w:before="2"/>
        <w:ind w:left="880" w:right="119"/>
        <w:jc w:val="both"/>
      </w:pPr>
      <w:r>
        <w:t>This service is funded at a Department of Developmental Services (DDS) Statewide Median Rate. Currently, the rate is $28.34 per hour, per individual.</w:t>
      </w:r>
    </w:p>
    <w:p w14:paraId="391C06D5" w14:textId="77777777" w:rsidR="00AE5F7B" w:rsidRDefault="00AE5F7B">
      <w:pPr>
        <w:pStyle w:val="BodyText"/>
        <w:spacing w:before="12"/>
        <w:rPr>
          <w:sz w:val="21"/>
        </w:rPr>
      </w:pPr>
    </w:p>
    <w:p w14:paraId="033EEF07" w14:textId="77777777" w:rsidR="00AE5F7B" w:rsidRDefault="000C73C5">
      <w:pPr>
        <w:pStyle w:val="BodyText"/>
        <w:ind w:left="880" w:right="119"/>
        <w:jc w:val="both"/>
      </w:pPr>
      <w:r>
        <w:t>Please note that per Welfare and Institutions Code (WIC) 4650.10 all generic resources must</w:t>
      </w:r>
      <w:r>
        <w:t xml:space="preserve"> be explored in the individual’s community prior to requesting regional center funding.</w:t>
      </w:r>
    </w:p>
    <w:p w14:paraId="20648443" w14:textId="77777777" w:rsidR="00AE5F7B" w:rsidRDefault="00AE5F7B">
      <w:pPr>
        <w:pStyle w:val="BodyText"/>
        <w:spacing w:before="2"/>
      </w:pPr>
    </w:p>
    <w:p w14:paraId="4B32B1F8" w14:textId="77777777" w:rsidR="00AE5F7B" w:rsidRDefault="000C73C5">
      <w:pPr>
        <w:pStyle w:val="BodyText"/>
        <w:ind w:left="880" w:right="117"/>
        <w:jc w:val="both"/>
      </w:pPr>
      <w:r>
        <w:t xml:space="preserve">This project </w:t>
      </w:r>
      <w:r w:rsidRPr="000C73C5">
        <w:rPr>
          <w:b/>
          <w:bCs/>
        </w:rPr>
        <w:t>DOES NOT</w:t>
      </w:r>
      <w:r>
        <w:t xml:space="preserve"> have startup funds associated. Applicants are responsible for 100% of the initial start-up cost and continued maintenance of the business. Additi</w:t>
      </w:r>
      <w:r>
        <w:t>onally, pursuant to Title 17, Section 54322(d)(10), Regional Centers cannot guarantee referrals.</w:t>
      </w:r>
    </w:p>
    <w:p w14:paraId="72E24757" w14:textId="77777777" w:rsidR="00AE5F7B" w:rsidRDefault="00AE5F7B">
      <w:pPr>
        <w:pStyle w:val="BodyText"/>
        <w:spacing w:before="1"/>
      </w:pPr>
    </w:p>
    <w:p w14:paraId="60FA8992" w14:textId="13DA5376" w:rsidR="00AE5F7B" w:rsidRDefault="00AE5F7B">
      <w:pPr>
        <w:pStyle w:val="BodyText"/>
        <w:tabs>
          <w:tab w:val="left" w:pos="9161"/>
        </w:tabs>
        <w:spacing w:line="268" w:lineRule="exact"/>
        <w:ind w:left="1240"/>
      </w:pPr>
      <w:bookmarkStart w:id="6" w:name="LOCATION_&amp;_LANGUAGE"/>
      <w:bookmarkEnd w:id="6"/>
    </w:p>
    <w:sectPr w:rsidR="00AE5F7B">
      <w:pgSz w:w="12240" w:h="15840"/>
      <w:pgMar w:top="620" w:right="9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5F2"/>
    <w:multiLevelType w:val="hybridMultilevel"/>
    <w:tmpl w:val="A4B09B1A"/>
    <w:lvl w:ilvl="0" w:tplc="C4A466F6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9B22C38">
      <w:numFmt w:val="bullet"/>
      <w:lvlText w:val="•"/>
      <w:lvlJc w:val="left"/>
      <w:pPr>
        <w:ind w:left="2872" w:hanging="360"/>
      </w:pPr>
      <w:rPr>
        <w:rFonts w:hint="default"/>
      </w:rPr>
    </w:lvl>
    <w:lvl w:ilvl="2" w:tplc="C3CA9396">
      <w:numFmt w:val="bullet"/>
      <w:lvlText w:val="•"/>
      <w:lvlJc w:val="left"/>
      <w:pPr>
        <w:ind w:left="3784" w:hanging="360"/>
      </w:pPr>
      <w:rPr>
        <w:rFonts w:hint="default"/>
      </w:rPr>
    </w:lvl>
    <w:lvl w:ilvl="3" w:tplc="5888D714">
      <w:numFmt w:val="bullet"/>
      <w:lvlText w:val="•"/>
      <w:lvlJc w:val="left"/>
      <w:pPr>
        <w:ind w:left="4696" w:hanging="360"/>
      </w:pPr>
      <w:rPr>
        <w:rFonts w:hint="default"/>
      </w:rPr>
    </w:lvl>
    <w:lvl w:ilvl="4" w:tplc="CF4E72C0">
      <w:numFmt w:val="bullet"/>
      <w:lvlText w:val="•"/>
      <w:lvlJc w:val="left"/>
      <w:pPr>
        <w:ind w:left="5608" w:hanging="360"/>
      </w:pPr>
      <w:rPr>
        <w:rFonts w:hint="default"/>
      </w:rPr>
    </w:lvl>
    <w:lvl w:ilvl="5" w:tplc="8CBA4AA6">
      <w:numFmt w:val="bullet"/>
      <w:lvlText w:val="•"/>
      <w:lvlJc w:val="left"/>
      <w:pPr>
        <w:ind w:left="6520" w:hanging="360"/>
      </w:pPr>
      <w:rPr>
        <w:rFonts w:hint="default"/>
      </w:rPr>
    </w:lvl>
    <w:lvl w:ilvl="6" w:tplc="2CD8CFAA">
      <w:numFmt w:val="bullet"/>
      <w:lvlText w:val="•"/>
      <w:lvlJc w:val="left"/>
      <w:pPr>
        <w:ind w:left="7432" w:hanging="360"/>
      </w:pPr>
      <w:rPr>
        <w:rFonts w:hint="default"/>
      </w:rPr>
    </w:lvl>
    <w:lvl w:ilvl="7" w:tplc="64580B88">
      <w:numFmt w:val="bullet"/>
      <w:lvlText w:val="•"/>
      <w:lvlJc w:val="left"/>
      <w:pPr>
        <w:ind w:left="8344" w:hanging="360"/>
      </w:pPr>
      <w:rPr>
        <w:rFonts w:hint="default"/>
      </w:rPr>
    </w:lvl>
    <w:lvl w:ilvl="8" w:tplc="AA5E7E78">
      <w:numFmt w:val="bullet"/>
      <w:lvlText w:val="•"/>
      <w:lvlJc w:val="left"/>
      <w:pPr>
        <w:ind w:left="9256" w:hanging="360"/>
      </w:pPr>
      <w:rPr>
        <w:rFonts w:hint="default"/>
      </w:rPr>
    </w:lvl>
  </w:abstractNum>
  <w:abstractNum w:abstractNumId="1" w15:restartNumberingAfterBreak="0">
    <w:nsid w:val="1ED633AA"/>
    <w:multiLevelType w:val="hybridMultilevel"/>
    <w:tmpl w:val="9460987A"/>
    <w:lvl w:ilvl="0" w:tplc="E8D0207E">
      <w:start w:val="1"/>
      <w:numFmt w:val="decimal"/>
      <w:lvlText w:val="%1."/>
      <w:lvlJc w:val="left"/>
      <w:pPr>
        <w:ind w:left="1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C2FE0B1E">
      <w:start w:val="1"/>
      <w:numFmt w:val="lowerLetter"/>
      <w:lvlText w:val="%2."/>
      <w:lvlJc w:val="left"/>
      <w:pPr>
        <w:ind w:left="26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E16CF4A">
      <w:numFmt w:val="bullet"/>
      <w:lvlText w:val=""/>
      <w:lvlJc w:val="left"/>
      <w:pPr>
        <w:ind w:left="801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D312E4A6">
      <w:numFmt w:val="bullet"/>
      <w:lvlText w:val="•"/>
      <w:lvlJc w:val="left"/>
      <w:pPr>
        <w:ind w:left="8402" w:hanging="298"/>
      </w:pPr>
      <w:rPr>
        <w:rFonts w:hint="default"/>
      </w:rPr>
    </w:lvl>
    <w:lvl w:ilvl="4" w:tplc="6FEACE3A">
      <w:numFmt w:val="bullet"/>
      <w:lvlText w:val="•"/>
      <w:lvlJc w:val="left"/>
      <w:pPr>
        <w:ind w:left="8785" w:hanging="298"/>
      </w:pPr>
      <w:rPr>
        <w:rFonts w:hint="default"/>
      </w:rPr>
    </w:lvl>
    <w:lvl w:ilvl="5" w:tplc="3C447700">
      <w:numFmt w:val="bullet"/>
      <w:lvlText w:val="•"/>
      <w:lvlJc w:val="left"/>
      <w:pPr>
        <w:ind w:left="9167" w:hanging="298"/>
      </w:pPr>
      <w:rPr>
        <w:rFonts w:hint="default"/>
      </w:rPr>
    </w:lvl>
    <w:lvl w:ilvl="6" w:tplc="E13ECD9E">
      <w:numFmt w:val="bullet"/>
      <w:lvlText w:val="•"/>
      <w:lvlJc w:val="left"/>
      <w:pPr>
        <w:ind w:left="9550" w:hanging="298"/>
      </w:pPr>
      <w:rPr>
        <w:rFonts w:hint="default"/>
      </w:rPr>
    </w:lvl>
    <w:lvl w:ilvl="7" w:tplc="ADF62302">
      <w:numFmt w:val="bullet"/>
      <w:lvlText w:val="•"/>
      <w:lvlJc w:val="left"/>
      <w:pPr>
        <w:ind w:left="9932" w:hanging="298"/>
      </w:pPr>
      <w:rPr>
        <w:rFonts w:hint="default"/>
      </w:rPr>
    </w:lvl>
    <w:lvl w:ilvl="8" w:tplc="6E344E2A">
      <w:numFmt w:val="bullet"/>
      <w:lvlText w:val="•"/>
      <w:lvlJc w:val="left"/>
      <w:pPr>
        <w:ind w:left="10315" w:hanging="298"/>
      </w:pPr>
      <w:rPr>
        <w:rFonts w:hint="default"/>
      </w:rPr>
    </w:lvl>
  </w:abstractNum>
  <w:abstractNum w:abstractNumId="2" w15:restartNumberingAfterBreak="0">
    <w:nsid w:val="25B953FC"/>
    <w:multiLevelType w:val="hybridMultilevel"/>
    <w:tmpl w:val="415244A0"/>
    <w:lvl w:ilvl="0" w:tplc="F932A44E">
      <w:start w:val="1"/>
      <w:numFmt w:val="decimal"/>
      <w:lvlText w:val="%1."/>
      <w:lvlJc w:val="left"/>
      <w:pPr>
        <w:ind w:left="196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C22A148">
      <w:numFmt w:val="bullet"/>
      <w:lvlText w:val="•"/>
      <w:lvlJc w:val="left"/>
      <w:pPr>
        <w:ind w:left="2872" w:hanging="720"/>
      </w:pPr>
      <w:rPr>
        <w:rFonts w:hint="default"/>
      </w:rPr>
    </w:lvl>
    <w:lvl w:ilvl="2" w:tplc="DB7A5F64">
      <w:numFmt w:val="bullet"/>
      <w:lvlText w:val="•"/>
      <w:lvlJc w:val="left"/>
      <w:pPr>
        <w:ind w:left="3784" w:hanging="720"/>
      </w:pPr>
      <w:rPr>
        <w:rFonts w:hint="default"/>
      </w:rPr>
    </w:lvl>
    <w:lvl w:ilvl="3" w:tplc="1680A88E">
      <w:numFmt w:val="bullet"/>
      <w:lvlText w:val="•"/>
      <w:lvlJc w:val="left"/>
      <w:pPr>
        <w:ind w:left="4696" w:hanging="720"/>
      </w:pPr>
      <w:rPr>
        <w:rFonts w:hint="default"/>
      </w:rPr>
    </w:lvl>
    <w:lvl w:ilvl="4" w:tplc="D6088FFA">
      <w:numFmt w:val="bullet"/>
      <w:lvlText w:val="•"/>
      <w:lvlJc w:val="left"/>
      <w:pPr>
        <w:ind w:left="5608" w:hanging="720"/>
      </w:pPr>
      <w:rPr>
        <w:rFonts w:hint="default"/>
      </w:rPr>
    </w:lvl>
    <w:lvl w:ilvl="5" w:tplc="08B0B084">
      <w:numFmt w:val="bullet"/>
      <w:lvlText w:val="•"/>
      <w:lvlJc w:val="left"/>
      <w:pPr>
        <w:ind w:left="6520" w:hanging="720"/>
      </w:pPr>
      <w:rPr>
        <w:rFonts w:hint="default"/>
      </w:rPr>
    </w:lvl>
    <w:lvl w:ilvl="6" w:tplc="319235B6">
      <w:numFmt w:val="bullet"/>
      <w:lvlText w:val="•"/>
      <w:lvlJc w:val="left"/>
      <w:pPr>
        <w:ind w:left="7432" w:hanging="720"/>
      </w:pPr>
      <w:rPr>
        <w:rFonts w:hint="default"/>
      </w:rPr>
    </w:lvl>
    <w:lvl w:ilvl="7" w:tplc="E1C25608">
      <w:numFmt w:val="bullet"/>
      <w:lvlText w:val="•"/>
      <w:lvlJc w:val="left"/>
      <w:pPr>
        <w:ind w:left="8344" w:hanging="720"/>
      </w:pPr>
      <w:rPr>
        <w:rFonts w:hint="default"/>
      </w:rPr>
    </w:lvl>
    <w:lvl w:ilvl="8" w:tplc="E6222A98">
      <w:numFmt w:val="bullet"/>
      <w:lvlText w:val="•"/>
      <w:lvlJc w:val="left"/>
      <w:pPr>
        <w:ind w:left="9256" w:hanging="720"/>
      </w:pPr>
      <w:rPr>
        <w:rFonts w:hint="default"/>
      </w:rPr>
    </w:lvl>
  </w:abstractNum>
  <w:abstractNum w:abstractNumId="3" w15:restartNumberingAfterBreak="0">
    <w:nsid w:val="34BE18EC"/>
    <w:multiLevelType w:val="hybridMultilevel"/>
    <w:tmpl w:val="9286BDA4"/>
    <w:lvl w:ilvl="0" w:tplc="E8FEE5FE">
      <w:numFmt w:val="bullet"/>
      <w:lvlText w:val="•"/>
      <w:lvlJc w:val="left"/>
      <w:pPr>
        <w:ind w:left="23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DA9E8FB6">
      <w:numFmt w:val="bullet"/>
      <w:lvlText w:val="•"/>
      <w:lvlJc w:val="left"/>
      <w:pPr>
        <w:ind w:left="3178" w:hanging="360"/>
      </w:pPr>
      <w:rPr>
        <w:rFonts w:hint="default"/>
      </w:rPr>
    </w:lvl>
    <w:lvl w:ilvl="2" w:tplc="D2988B0C"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DBE453AC">
      <w:numFmt w:val="bullet"/>
      <w:lvlText w:val="•"/>
      <w:lvlJc w:val="left"/>
      <w:pPr>
        <w:ind w:left="4934" w:hanging="360"/>
      </w:pPr>
      <w:rPr>
        <w:rFonts w:hint="default"/>
      </w:rPr>
    </w:lvl>
    <w:lvl w:ilvl="4" w:tplc="47E48358">
      <w:numFmt w:val="bullet"/>
      <w:lvlText w:val="•"/>
      <w:lvlJc w:val="left"/>
      <w:pPr>
        <w:ind w:left="5812" w:hanging="360"/>
      </w:pPr>
      <w:rPr>
        <w:rFonts w:hint="default"/>
      </w:rPr>
    </w:lvl>
    <w:lvl w:ilvl="5" w:tplc="45A89624">
      <w:numFmt w:val="bullet"/>
      <w:lvlText w:val="•"/>
      <w:lvlJc w:val="left"/>
      <w:pPr>
        <w:ind w:left="6690" w:hanging="360"/>
      </w:pPr>
      <w:rPr>
        <w:rFonts w:hint="default"/>
      </w:rPr>
    </w:lvl>
    <w:lvl w:ilvl="6" w:tplc="82AEEB68"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7242CE88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E03264A0">
      <w:numFmt w:val="bullet"/>
      <w:lvlText w:val="•"/>
      <w:lvlJc w:val="left"/>
      <w:pPr>
        <w:ind w:left="9324" w:hanging="360"/>
      </w:pPr>
      <w:rPr>
        <w:rFonts w:hint="default"/>
      </w:rPr>
    </w:lvl>
  </w:abstractNum>
  <w:abstractNum w:abstractNumId="4" w15:restartNumberingAfterBreak="0">
    <w:nsid w:val="3ED669AA"/>
    <w:multiLevelType w:val="hybridMultilevel"/>
    <w:tmpl w:val="E4CE400A"/>
    <w:lvl w:ilvl="0" w:tplc="2A2884F6">
      <w:numFmt w:val="bullet"/>
      <w:lvlText w:val="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49969768">
      <w:numFmt w:val="bullet"/>
      <w:lvlText w:val="•"/>
      <w:lvlJc w:val="left"/>
      <w:pPr>
        <w:ind w:left="1492" w:hanging="361"/>
      </w:pPr>
      <w:rPr>
        <w:rFonts w:hint="default"/>
      </w:rPr>
    </w:lvl>
    <w:lvl w:ilvl="2" w:tplc="F8824AFE">
      <w:numFmt w:val="bullet"/>
      <w:lvlText w:val="•"/>
      <w:lvlJc w:val="left"/>
      <w:pPr>
        <w:ind w:left="1764" w:hanging="361"/>
      </w:pPr>
      <w:rPr>
        <w:rFonts w:hint="default"/>
      </w:rPr>
    </w:lvl>
    <w:lvl w:ilvl="3" w:tplc="74DA38FC">
      <w:numFmt w:val="bullet"/>
      <w:lvlText w:val="•"/>
      <w:lvlJc w:val="left"/>
      <w:pPr>
        <w:ind w:left="2036" w:hanging="361"/>
      </w:pPr>
      <w:rPr>
        <w:rFonts w:hint="default"/>
      </w:rPr>
    </w:lvl>
    <w:lvl w:ilvl="4" w:tplc="85F6A7AA">
      <w:numFmt w:val="bullet"/>
      <w:lvlText w:val="•"/>
      <w:lvlJc w:val="left"/>
      <w:pPr>
        <w:ind w:left="2308" w:hanging="361"/>
      </w:pPr>
      <w:rPr>
        <w:rFonts w:hint="default"/>
      </w:rPr>
    </w:lvl>
    <w:lvl w:ilvl="5" w:tplc="D492651A">
      <w:numFmt w:val="bullet"/>
      <w:lvlText w:val="•"/>
      <w:lvlJc w:val="left"/>
      <w:pPr>
        <w:ind w:left="2580" w:hanging="361"/>
      </w:pPr>
      <w:rPr>
        <w:rFonts w:hint="default"/>
      </w:rPr>
    </w:lvl>
    <w:lvl w:ilvl="6" w:tplc="2626ED7C">
      <w:numFmt w:val="bullet"/>
      <w:lvlText w:val="•"/>
      <w:lvlJc w:val="left"/>
      <w:pPr>
        <w:ind w:left="2852" w:hanging="361"/>
      </w:pPr>
      <w:rPr>
        <w:rFonts w:hint="default"/>
      </w:rPr>
    </w:lvl>
    <w:lvl w:ilvl="7" w:tplc="3E14F3AE">
      <w:numFmt w:val="bullet"/>
      <w:lvlText w:val="•"/>
      <w:lvlJc w:val="left"/>
      <w:pPr>
        <w:ind w:left="3124" w:hanging="361"/>
      </w:pPr>
      <w:rPr>
        <w:rFonts w:hint="default"/>
      </w:rPr>
    </w:lvl>
    <w:lvl w:ilvl="8" w:tplc="FCCCD67A">
      <w:numFmt w:val="bullet"/>
      <w:lvlText w:val="•"/>
      <w:lvlJc w:val="left"/>
      <w:pPr>
        <w:ind w:left="3396" w:hanging="361"/>
      </w:pPr>
      <w:rPr>
        <w:rFonts w:hint="default"/>
      </w:rPr>
    </w:lvl>
  </w:abstractNum>
  <w:abstractNum w:abstractNumId="5" w15:restartNumberingAfterBreak="0">
    <w:nsid w:val="57EE1BBA"/>
    <w:multiLevelType w:val="hybridMultilevel"/>
    <w:tmpl w:val="A78E9574"/>
    <w:lvl w:ilvl="0" w:tplc="1F24FC00">
      <w:numFmt w:val="bullet"/>
      <w:lvlText w:val=""/>
      <w:lvlJc w:val="left"/>
      <w:pPr>
        <w:ind w:left="23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</w:rPr>
    </w:lvl>
    <w:lvl w:ilvl="1" w:tplc="24B0C86A">
      <w:numFmt w:val="bullet"/>
      <w:lvlText w:val="•"/>
      <w:lvlJc w:val="left"/>
      <w:pPr>
        <w:ind w:left="3196" w:hanging="360"/>
      </w:pPr>
      <w:rPr>
        <w:rFonts w:hint="default"/>
      </w:rPr>
    </w:lvl>
    <w:lvl w:ilvl="2" w:tplc="016E2114">
      <w:numFmt w:val="bullet"/>
      <w:lvlText w:val="•"/>
      <w:lvlJc w:val="left"/>
      <w:pPr>
        <w:ind w:left="4072" w:hanging="360"/>
      </w:pPr>
      <w:rPr>
        <w:rFonts w:hint="default"/>
      </w:rPr>
    </w:lvl>
    <w:lvl w:ilvl="3" w:tplc="7F08EB5C">
      <w:numFmt w:val="bullet"/>
      <w:lvlText w:val="•"/>
      <w:lvlJc w:val="left"/>
      <w:pPr>
        <w:ind w:left="4948" w:hanging="360"/>
      </w:pPr>
      <w:rPr>
        <w:rFonts w:hint="default"/>
      </w:rPr>
    </w:lvl>
    <w:lvl w:ilvl="4" w:tplc="CD6E70B2">
      <w:numFmt w:val="bullet"/>
      <w:lvlText w:val="•"/>
      <w:lvlJc w:val="left"/>
      <w:pPr>
        <w:ind w:left="5824" w:hanging="360"/>
      </w:pPr>
      <w:rPr>
        <w:rFonts w:hint="default"/>
      </w:rPr>
    </w:lvl>
    <w:lvl w:ilvl="5" w:tplc="EE328AE8">
      <w:numFmt w:val="bullet"/>
      <w:lvlText w:val="•"/>
      <w:lvlJc w:val="left"/>
      <w:pPr>
        <w:ind w:left="6700" w:hanging="360"/>
      </w:pPr>
      <w:rPr>
        <w:rFonts w:hint="default"/>
      </w:rPr>
    </w:lvl>
    <w:lvl w:ilvl="6" w:tplc="7B8E85AE">
      <w:numFmt w:val="bullet"/>
      <w:lvlText w:val="•"/>
      <w:lvlJc w:val="left"/>
      <w:pPr>
        <w:ind w:left="7576" w:hanging="360"/>
      </w:pPr>
      <w:rPr>
        <w:rFonts w:hint="default"/>
      </w:rPr>
    </w:lvl>
    <w:lvl w:ilvl="7" w:tplc="FCF4E8CE">
      <w:numFmt w:val="bullet"/>
      <w:lvlText w:val="•"/>
      <w:lvlJc w:val="left"/>
      <w:pPr>
        <w:ind w:left="8452" w:hanging="360"/>
      </w:pPr>
      <w:rPr>
        <w:rFonts w:hint="default"/>
      </w:rPr>
    </w:lvl>
    <w:lvl w:ilvl="8" w:tplc="C2363E06">
      <w:numFmt w:val="bullet"/>
      <w:lvlText w:val="•"/>
      <w:lvlJc w:val="left"/>
      <w:pPr>
        <w:ind w:left="9328" w:hanging="360"/>
      </w:pPr>
      <w:rPr>
        <w:rFonts w:hint="default"/>
      </w:rPr>
    </w:lvl>
  </w:abstractNum>
  <w:abstractNum w:abstractNumId="6" w15:restartNumberingAfterBreak="0">
    <w:nsid w:val="5D001F35"/>
    <w:multiLevelType w:val="hybridMultilevel"/>
    <w:tmpl w:val="DC3226DA"/>
    <w:lvl w:ilvl="0" w:tplc="BDCE22DA">
      <w:numFmt w:val="bullet"/>
      <w:lvlText w:val="☐"/>
      <w:lvlJc w:val="left"/>
      <w:pPr>
        <w:ind w:left="120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5B7893BE">
      <w:numFmt w:val="bullet"/>
      <w:lvlText w:val="•"/>
      <w:lvlJc w:val="left"/>
      <w:pPr>
        <w:ind w:left="2188" w:hanging="219"/>
      </w:pPr>
      <w:rPr>
        <w:rFonts w:hint="default"/>
      </w:rPr>
    </w:lvl>
    <w:lvl w:ilvl="2" w:tplc="6A32843C">
      <w:numFmt w:val="bullet"/>
      <w:lvlText w:val="•"/>
      <w:lvlJc w:val="left"/>
      <w:pPr>
        <w:ind w:left="3176" w:hanging="219"/>
      </w:pPr>
      <w:rPr>
        <w:rFonts w:hint="default"/>
      </w:rPr>
    </w:lvl>
    <w:lvl w:ilvl="3" w:tplc="81E80008">
      <w:numFmt w:val="bullet"/>
      <w:lvlText w:val="•"/>
      <w:lvlJc w:val="left"/>
      <w:pPr>
        <w:ind w:left="4164" w:hanging="219"/>
      </w:pPr>
      <w:rPr>
        <w:rFonts w:hint="default"/>
      </w:rPr>
    </w:lvl>
    <w:lvl w:ilvl="4" w:tplc="697EA638">
      <w:numFmt w:val="bullet"/>
      <w:lvlText w:val="•"/>
      <w:lvlJc w:val="left"/>
      <w:pPr>
        <w:ind w:left="5152" w:hanging="219"/>
      </w:pPr>
      <w:rPr>
        <w:rFonts w:hint="default"/>
      </w:rPr>
    </w:lvl>
    <w:lvl w:ilvl="5" w:tplc="5A166714">
      <w:numFmt w:val="bullet"/>
      <w:lvlText w:val="•"/>
      <w:lvlJc w:val="left"/>
      <w:pPr>
        <w:ind w:left="6140" w:hanging="219"/>
      </w:pPr>
      <w:rPr>
        <w:rFonts w:hint="default"/>
      </w:rPr>
    </w:lvl>
    <w:lvl w:ilvl="6" w:tplc="CC80FF24">
      <w:numFmt w:val="bullet"/>
      <w:lvlText w:val="•"/>
      <w:lvlJc w:val="left"/>
      <w:pPr>
        <w:ind w:left="7128" w:hanging="219"/>
      </w:pPr>
      <w:rPr>
        <w:rFonts w:hint="default"/>
      </w:rPr>
    </w:lvl>
    <w:lvl w:ilvl="7" w:tplc="BA5AB7BE">
      <w:numFmt w:val="bullet"/>
      <w:lvlText w:val="•"/>
      <w:lvlJc w:val="left"/>
      <w:pPr>
        <w:ind w:left="8116" w:hanging="219"/>
      </w:pPr>
      <w:rPr>
        <w:rFonts w:hint="default"/>
      </w:rPr>
    </w:lvl>
    <w:lvl w:ilvl="8" w:tplc="6818DBD6">
      <w:numFmt w:val="bullet"/>
      <w:lvlText w:val="•"/>
      <w:lvlJc w:val="left"/>
      <w:pPr>
        <w:ind w:left="9104" w:hanging="219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F7B"/>
    <w:rsid w:val="000C73C5"/>
    <w:rsid w:val="00A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5A48B7A"/>
  <w15:docId w15:val="{559E58C3-29AA-4850-8F26-C025AA8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1890"/>
      <w:outlineLvl w:val="0"/>
    </w:pPr>
    <w:rPr>
      <w:rFonts w:ascii="Garamond" w:eastAsia="Garamond" w:hAnsi="Garamond" w:cs="Garamond"/>
      <w:b/>
      <w:bCs/>
      <w:sz w:val="45"/>
      <w:szCs w:val="4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6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3825</Characters>
  <Application>Microsoft Office Word</Application>
  <DocSecurity>0</DocSecurity>
  <Lines>31</Lines>
  <Paragraphs>8</Paragraphs>
  <ScaleCrop>false</ScaleCrop>
  <Company>North Los Angeles County Regional Center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nsalyers</dc:creator>
  <cp:lastModifiedBy>Program Design Feedback</cp:lastModifiedBy>
  <cp:revision>2</cp:revision>
  <dcterms:created xsi:type="dcterms:W3CDTF">2022-04-05T06:33:00Z</dcterms:created>
  <dcterms:modified xsi:type="dcterms:W3CDTF">2024-03-29T19:47:00Z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Standard DC (32-bit) 22.1.20085</vt:lpwstr>
  </property>
</Properties>
</file>