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C44F" w14:textId="77777777" w:rsidR="00941F8F" w:rsidRDefault="00941F8F">
      <w:pPr>
        <w:pStyle w:val="BodyText"/>
        <w:rPr>
          <w:rFonts w:ascii="Times New Roman"/>
          <w:sz w:val="20"/>
        </w:rPr>
      </w:pPr>
    </w:p>
    <w:p w14:paraId="3C5BD4A7" w14:textId="77777777" w:rsidR="00941F8F" w:rsidRDefault="00941F8F">
      <w:pPr>
        <w:pStyle w:val="BodyText"/>
        <w:spacing w:before="1"/>
        <w:rPr>
          <w:rFonts w:ascii="Times New Roman"/>
          <w:sz w:val="18"/>
        </w:rPr>
      </w:pPr>
    </w:p>
    <w:p w14:paraId="29F9EF39" w14:textId="77777777" w:rsidR="00941F8F" w:rsidRDefault="00182739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1AC8DE" wp14:editId="3298AE23">
            <wp:simplePos x="0" y="0"/>
            <wp:positionH relativeFrom="page">
              <wp:posOffset>411480</wp:posOffset>
            </wp:positionH>
            <wp:positionV relativeFrom="paragraph">
              <wp:posOffset>-280151</wp:posOffset>
            </wp:positionV>
            <wp:extent cx="1064856" cy="1060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56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oject_9-_Camping_Services_(850)"/>
      <w:bookmarkEnd w:id="0"/>
      <w:r>
        <w:rPr>
          <w:color w:val="4F2583"/>
          <w:spacing w:val="20"/>
          <w:u w:color="4F2583"/>
        </w:rPr>
        <w:t xml:space="preserve"> </w:t>
      </w:r>
      <w:r>
        <w:rPr>
          <w:color w:val="4F2583"/>
          <w:u w:color="4F2583"/>
        </w:rPr>
        <w:t>North</w:t>
      </w:r>
      <w:r>
        <w:rPr>
          <w:color w:val="4F2583"/>
          <w:spacing w:val="-7"/>
          <w:u w:color="4F2583"/>
        </w:rPr>
        <w:t xml:space="preserve"> </w:t>
      </w:r>
      <w:r>
        <w:rPr>
          <w:color w:val="4F2583"/>
          <w:u w:color="4F2583"/>
        </w:rPr>
        <w:t>Los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Angeles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County</w:t>
      </w:r>
      <w:r>
        <w:rPr>
          <w:color w:val="4F2583"/>
          <w:spacing w:val="-5"/>
          <w:u w:color="4F2583"/>
        </w:rPr>
        <w:t xml:space="preserve"> </w:t>
      </w:r>
      <w:r>
        <w:rPr>
          <w:color w:val="4F2583"/>
          <w:u w:color="4F2583"/>
        </w:rPr>
        <w:t>Regional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spacing w:val="-2"/>
          <w:u w:color="4F2583"/>
        </w:rPr>
        <w:t>Center</w:t>
      </w:r>
      <w:r>
        <w:rPr>
          <w:color w:val="4F2583"/>
          <w:spacing w:val="40"/>
          <w:u w:color="4F2583"/>
        </w:rPr>
        <w:t xml:space="preserve"> </w:t>
      </w:r>
    </w:p>
    <w:p w14:paraId="745B2E67" w14:textId="77777777" w:rsidR="00941F8F" w:rsidRDefault="00182739">
      <w:pPr>
        <w:pStyle w:val="Heading2"/>
        <w:spacing w:before="346"/>
        <w:ind w:left="2576" w:right="2162"/>
      </w:pPr>
      <w:r>
        <w:t>Social</w:t>
      </w:r>
      <w:r>
        <w:rPr>
          <w:spacing w:val="-5"/>
        </w:rPr>
        <w:t xml:space="preserve"> </w:t>
      </w:r>
      <w:r>
        <w:t>Recreation,</w:t>
      </w:r>
      <w:r>
        <w:rPr>
          <w:spacing w:val="-4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Non-Medical</w:t>
      </w:r>
      <w:r>
        <w:rPr>
          <w:spacing w:val="-6"/>
        </w:rPr>
        <w:t xml:space="preserve"> </w:t>
      </w:r>
      <w:r>
        <w:rPr>
          <w:spacing w:val="-2"/>
        </w:rPr>
        <w:t>Therapies</w:t>
      </w:r>
    </w:p>
    <w:p w14:paraId="6910174F" w14:textId="77777777" w:rsidR="00941F8F" w:rsidRDefault="00182739">
      <w:pPr>
        <w:spacing w:line="285" w:lineRule="exact"/>
        <w:ind w:left="2576" w:right="2159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Vendorization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295B0F23" w14:textId="77777777" w:rsidR="00941F8F" w:rsidRDefault="00941F8F">
      <w:pPr>
        <w:pStyle w:val="BodyText"/>
        <w:rPr>
          <w:b/>
          <w:sz w:val="20"/>
        </w:rPr>
      </w:pPr>
    </w:p>
    <w:p w14:paraId="25607899" w14:textId="77777777" w:rsidR="00941F8F" w:rsidRDefault="00941F8F">
      <w:pPr>
        <w:pStyle w:val="BodyText"/>
        <w:spacing w:before="2"/>
        <w:rPr>
          <w:b/>
          <w:sz w:val="19"/>
        </w:rPr>
      </w:pPr>
    </w:p>
    <w:p w14:paraId="00FF58FB" w14:textId="74375C4D" w:rsidR="00941F8F" w:rsidRDefault="00182739">
      <w:pPr>
        <w:spacing w:before="56"/>
        <w:ind w:left="540"/>
        <w:jc w:val="both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#10:</w:t>
      </w:r>
      <w:r>
        <w:rPr>
          <w:b/>
          <w:spacing w:val="-5"/>
        </w:rPr>
        <w:t xml:space="preserve"> </w:t>
      </w:r>
      <w:r w:rsidR="00AF0B34">
        <w:t>Sports Club (008)</w:t>
      </w:r>
    </w:p>
    <w:p w14:paraId="69B5A213" w14:textId="77777777" w:rsidR="00941F8F" w:rsidRDefault="00182739">
      <w:pPr>
        <w:spacing w:before="7"/>
        <w:ind w:left="540"/>
      </w:pPr>
      <w:r>
        <w:rPr>
          <w:b/>
        </w:rPr>
        <w:t>DEADLINE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SUBMISSION:</w:t>
      </w:r>
      <w:r>
        <w:rPr>
          <w:b/>
          <w:spacing w:val="-7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2"/>
        </w:rPr>
        <w:t>declines</w:t>
      </w:r>
    </w:p>
    <w:p w14:paraId="781792BC" w14:textId="77777777" w:rsidR="00941F8F" w:rsidRDefault="00941F8F">
      <w:pPr>
        <w:pStyle w:val="BodyText"/>
        <w:spacing w:before="5"/>
        <w:rPr>
          <w:sz w:val="21"/>
        </w:rPr>
      </w:pPr>
    </w:p>
    <w:p w14:paraId="3B651C5A" w14:textId="77777777" w:rsidR="00941F8F" w:rsidRDefault="00182739">
      <w:pPr>
        <w:pStyle w:val="Heading3"/>
        <w:spacing w:before="1"/>
      </w:pPr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30FD6B75" w14:textId="0899FE4F" w:rsidR="00941F8F" w:rsidRDefault="00182739">
      <w:pPr>
        <w:pStyle w:val="BodyText"/>
        <w:ind w:left="540" w:right="113"/>
        <w:jc w:val="both"/>
      </w:pPr>
      <w:r>
        <w:t>The Community Services Department</w:t>
      </w:r>
      <w:r>
        <w:rPr>
          <w:spacing w:val="31"/>
        </w:rPr>
        <w:t xml:space="preserve"> </w:t>
      </w:r>
      <w:r>
        <w:t>of the</w:t>
      </w:r>
      <w:r>
        <w:rPr>
          <w:spacing w:val="30"/>
        </w:rPr>
        <w:t xml:space="preserve"> </w:t>
      </w:r>
      <w:r>
        <w:t>North Los Angeles County</w:t>
      </w:r>
      <w:r>
        <w:rPr>
          <w:spacing w:val="30"/>
        </w:rPr>
        <w:t xml:space="preserve"> </w:t>
      </w:r>
      <w:r>
        <w:t>Regional Center (NLACRC) is</w:t>
      </w:r>
      <w:r>
        <w:rPr>
          <w:spacing w:val="-6"/>
        </w:rPr>
        <w:t xml:space="preserve"> </w:t>
      </w:r>
      <w:r>
        <w:t xml:space="preserve">releasing this Request for Vendorization (RFV) to seek qualified and experienced </w:t>
      </w:r>
      <w:r w:rsidR="00AF0B34">
        <w:t>Sports Club</w:t>
      </w:r>
      <w:r>
        <w:t xml:space="preserve"> </w:t>
      </w:r>
      <w:r w:rsidR="00AF0B34">
        <w:t>vendors</w:t>
      </w:r>
      <w:r>
        <w:t xml:space="preserve"> to provide </w:t>
      </w:r>
      <w:r w:rsidR="00AF0B34">
        <w:t xml:space="preserve">intermittent or regularly scheduled temporary non-medical care in a community recreational setting with equipment and/or instruction to maintain and/or enhance a person’s physical health through exercise. </w:t>
      </w:r>
    </w:p>
    <w:p w14:paraId="05103B47" w14:textId="77777777" w:rsidR="00941F8F" w:rsidRDefault="00941F8F">
      <w:pPr>
        <w:pStyle w:val="BodyText"/>
        <w:spacing w:before="1"/>
      </w:pPr>
    </w:p>
    <w:p w14:paraId="5ABEC91D" w14:textId="77777777" w:rsidR="00941F8F" w:rsidRDefault="00182739">
      <w:pPr>
        <w:pStyle w:val="Heading3"/>
        <w:spacing w:before="1"/>
      </w:pPr>
      <w:r>
        <w:t>INDIVIDUALS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SERVED</w:t>
      </w:r>
    </w:p>
    <w:p w14:paraId="643651D2" w14:textId="6F6B3280" w:rsidR="00941F8F" w:rsidRDefault="00182739" w:rsidP="00AF0B34">
      <w:pPr>
        <w:pStyle w:val="BodyText"/>
        <w:ind w:left="540" w:right="114"/>
        <w:jc w:val="both"/>
      </w:pPr>
      <w:r>
        <w:t xml:space="preserve">Services shall be provided to children and adults </w:t>
      </w:r>
      <w:r w:rsidR="00AF0B34">
        <w:t xml:space="preserve">who have been found eligible for regional center services to achieve an Individual Family Service Plan (IFSP) or Individual Program Plan (IPP) objective regarding accessing </w:t>
      </w:r>
      <w:proofErr w:type="gramStart"/>
      <w:r w:rsidR="00AF0B34">
        <w:t>age appropriate</w:t>
      </w:r>
      <w:proofErr w:type="gramEnd"/>
      <w:r w:rsidR="00AF0B34">
        <w:t xml:space="preserve"> recreation and or integration </w:t>
      </w:r>
      <w:r>
        <w:t>activities.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AF0B34">
        <w:t xml:space="preserve">Sports Club </w:t>
      </w:r>
      <w:r w:rsidR="00AF0B34">
        <w:rPr>
          <w:spacing w:val="-13"/>
        </w:rPr>
        <w:t xml:space="preserve">vendor </w:t>
      </w:r>
      <w:r>
        <w:t>will</w:t>
      </w:r>
      <w:r>
        <w:rPr>
          <w:spacing w:val="-12"/>
        </w:rPr>
        <w:t xml:space="preserve"> </w:t>
      </w:r>
      <w:r>
        <w:t>create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rPr>
          <w:color w:val="111111"/>
        </w:rPr>
        <w:t>optimizing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 xml:space="preserve">accessibility and integration to help ensure a person’s well-being, </w:t>
      </w:r>
      <w:proofErr w:type="gramStart"/>
      <w:r>
        <w:rPr>
          <w:color w:val="111111"/>
        </w:rPr>
        <w:t>promote</w:t>
      </w:r>
      <w:proofErr w:type="gramEnd"/>
      <w:r>
        <w:rPr>
          <w:color w:val="111111"/>
        </w:rPr>
        <w:t xml:space="preserve"> and develop friendships, and enhance social opportunities through </w:t>
      </w:r>
      <w:r w:rsidR="00D42EC4">
        <w:rPr>
          <w:color w:val="111111"/>
        </w:rPr>
        <w:t xml:space="preserve">physical health and </w:t>
      </w:r>
      <w:proofErr w:type="spellStart"/>
      <w:r w:rsidR="00D42EC4">
        <w:rPr>
          <w:color w:val="111111"/>
        </w:rPr>
        <w:t>excercise</w:t>
      </w:r>
      <w:proofErr w:type="spellEnd"/>
      <w:r>
        <w:rPr>
          <w:color w:val="111111"/>
        </w:rPr>
        <w:t>.</w:t>
      </w:r>
    </w:p>
    <w:p w14:paraId="12EDE1E6" w14:textId="77777777" w:rsidR="00941F8F" w:rsidRDefault="00941F8F">
      <w:pPr>
        <w:pStyle w:val="BodyText"/>
        <w:spacing w:before="11"/>
        <w:rPr>
          <w:sz w:val="21"/>
        </w:rPr>
      </w:pPr>
    </w:p>
    <w:p w14:paraId="4AFFEAA7" w14:textId="77777777" w:rsidR="00941F8F" w:rsidRDefault="00182739">
      <w:pPr>
        <w:pStyle w:val="Heading3"/>
      </w:pPr>
      <w:r>
        <w:t>ADMISSION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56D9E80D" w14:textId="77777777" w:rsidR="00941F8F" w:rsidRDefault="00182739">
      <w:pPr>
        <w:pStyle w:val="BodyText"/>
        <w:ind w:left="540" w:right="114"/>
        <w:jc w:val="both"/>
      </w:pPr>
      <w:r>
        <w:t xml:space="preserve">Applicants should design a program that is equipped to meet the specialized needs of </w:t>
      </w:r>
      <w:r>
        <w:rPr>
          <w:sz w:val="23"/>
        </w:rPr>
        <w:t xml:space="preserve">individuals </w:t>
      </w:r>
      <w:r>
        <w:t>whose diagnoses are likely to include the following:</w:t>
      </w:r>
    </w:p>
    <w:p w14:paraId="00A81D55" w14:textId="77777777" w:rsidR="00941F8F" w:rsidRDefault="00182739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before="1" w:line="279" w:lineRule="exact"/>
        <w:ind w:left="1980" w:hanging="721"/>
      </w:pPr>
      <w:r>
        <w:t>Mild,</w:t>
      </w:r>
      <w:r>
        <w:rPr>
          <w:spacing w:val="-5"/>
        </w:rPr>
        <w:t xml:space="preserve"> </w:t>
      </w:r>
      <w:r>
        <w:t>moderate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severe levels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cognitive</w:t>
      </w:r>
      <w:r>
        <w:rPr>
          <w:spacing w:val="-4"/>
        </w:rPr>
        <w:t xml:space="preserve"> </w:t>
      </w:r>
      <w:r>
        <w:rPr>
          <w:spacing w:val="-2"/>
        </w:rPr>
        <w:t>deficit</w:t>
      </w:r>
    </w:p>
    <w:p w14:paraId="4C79FADA" w14:textId="77777777" w:rsidR="00941F8F" w:rsidRDefault="00182739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line="279" w:lineRule="exact"/>
        <w:ind w:left="1980" w:hanging="721"/>
      </w:pPr>
      <w:r>
        <w:t>Autism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rPr>
          <w:spacing w:val="-2"/>
        </w:rPr>
        <w:t>Disorders</w:t>
      </w:r>
    </w:p>
    <w:p w14:paraId="7E996724" w14:textId="77777777" w:rsidR="00941F8F" w:rsidRDefault="00182739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before="1"/>
        <w:ind w:left="1980" w:hanging="721"/>
      </w:pPr>
      <w:r>
        <w:t>Seizure</w:t>
      </w:r>
      <w:r>
        <w:rPr>
          <w:spacing w:val="-8"/>
        </w:rPr>
        <w:t xml:space="preserve"> </w:t>
      </w:r>
      <w:r>
        <w:rPr>
          <w:spacing w:val="-2"/>
        </w:rPr>
        <w:t>Disorders</w:t>
      </w:r>
    </w:p>
    <w:p w14:paraId="5E16D599" w14:textId="77777777" w:rsidR="00941F8F" w:rsidRDefault="00182739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ind w:left="1980" w:hanging="721"/>
      </w:pPr>
      <w:r>
        <w:t>Mental</w:t>
      </w:r>
      <w:r>
        <w:rPr>
          <w:spacing w:val="-5"/>
        </w:rPr>
        <w:t xml:space="preserve"> </w:t>
      </w:r>
      <w:r>
        <w:t>Illness/Psychiatric</w:t>
      </w:r>
      <w:r>
        <w:rPr>
          <w:spacing w:val="-8"/>
        </w:rPr>
        <w:t xml:space="preserve"> </w:t>
      </w:r>
      <w:r>
        <w:rPr>
          <w:spacing w:val="-2"/>
        </w:rPr>
        <w:t>Diagnosis</w:t>
      </w:r>
    </w:p>
    <w:p w14:paraId="2D0D42CC" w14:textId="77777777" w:rsidR="00941F8F" w:rsidRDefault="00182739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before="1"/>
        <w:ind w:left="1980" w:hanging="721"/>
      </w:pP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community.</w:t>
      </w:r>
    </w:p>
    <w:p w14:paraId="70C85B61" w14:textId="77777777" w:rsidR="00941F8F" w:rsidRDefault="00182739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ind w:left="1980" w:hanging="721"/>
      </w:pPr>
      <w:r>
        <w:t>Non-ambulatory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mild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rPr>
          <w:spacing w:val="-2"/>
        </w:rPr>
        <w:t>challenges.</w:t>
      </w:r>
    </w:p>
    <w:p w14:paraId="68F5AD28" w14:textId="7446DCDC" w:rsidR="00941F8F" w:rsidRDefault="00182739" w:rsidP="00AF0B34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before="1"/>
        <w:ind w:left="1980" w:hanging="721"/>
      </w:pPr>
      <w:r>
        <w:t>Individuals</w:t>
      </w:r>
      <w:r w:rsidRPr="00AF0B34">
        <w:rPr>
          <w:spacing w:val="-4"/>
        </w:rPr>
        <w:t xml:space="preserve"> </w:t>
      </w:r>
      <w:r>
        <w:t>with</w:t>
      </w:r>
      <w:r w:rsidRPr="00AF0B34">
        <w:rPr>
          <w:spacing w:val="-2"/>
        </w:rPr>
        <w:t xml:space="preserve"> </w:t>
      </w:r>
      <w:r>
        <w:t>activities</w:t>
      </w:r>
      <w:r w:rsidRPr="00AF0B34">
        <w:rPr>
          <w:spacing w:val="-1"/>
        </w:rPr>
        <w:t xml:space="preserve"> </w:t>
      </w:r>
      <w:r>
        <w:t>limitations</w:t>
      </w:r>
      <w:r w:rsidRPr="00AF0B34">
        <w:rPr>
          <w:spacing w:val="-2"/>
        </w:rPr>
        <w:t xml:space="preserve"> </w:t>
      </w:r>
      <w:r>
        <w:t>such</w:t>
      </w:r>
      <w:r w:rsidRPr="00AF0B34">
        <w:rPr>
          <w:spacing w:val="-6"/>
        </w:rPr>
        <w:t xml:space="preserve"> </w:t>
      </w:r>
      <w:r>
        <w:t>as</w:t>
      </w:r>
      <w:r w:rsidRPr="00AF0B34">
        <w:rPr>
          <w:spacing w:val="-4"/>
        </w:rPr>
        <w:t xml:space="preserve"> </w:t>
      </w:r>
      <w:r>
        <w:t>vision</w:t>
      </w:r>
      <w:r w:rsidRPr="00AF0B34">
        <w:rPr>
          <w:spacing w:val="-5"/>
        </w:rPr>
        <w:t xml:space="preserve"> </w:t>
      </w:r>
      <w:r>
        <w:t>or</w:t>
      </w:r>
      <w:r w:rsidRPr="00AF0B34">
        <w:rPr>
          <w:spacing w:val="-7"/>
        </w:rPr>
        <w:t xml:space="preserve"> </w:t>
      </w:r>
      <w:r>
        <w:t>hearing</w:t>
      </w:r>
      <w:r w:rsidRPr="00AF0B34">
        <w:rPr>
          <w:spacing w:val="-3"/>
        </w:rPr>
        <w:t xml:space="preserve"> </w:t>
      </w:r>
      <w:r>
        <w:t>loss</w:t>
      </w:r>
      <w:r w:rsidR="00AF0B34">
        <w:t>.</w:t>
      </w:r>
    </w:p>
    <w:p w14:paraId="093F83DE" w14:textId="77777777" w:rsidR="00AF0B34" w:rsidRDefault="00AF0B34">
      <w:pPr>
        <w:pStyle w:val="Heading3"/>
      </w:pPr>
    </w:p>
    <w:p w14:paraId="3400C4A1" w14:textId="5D93C6D3" w:rsidR="00941F8F" w:rsidRDefault="00182739">
      <w:pPr>
        <w:pStyle w:val="Heading3"/>
      </w:pPr>
      <w:r>
        <w:t>PROPOSED</w:t>
      </w:r>
      <w:r>
        <w:rPr>
          <w:spacing w:val="-6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1C8419F3" w14:textId="398068DB" w:rsidR="00941F8F" w:rsidRDefault="00AF0B34">
      <w:pPr>
        <w:pStyle w:val="BodyText"/>
        <w:spacing w:before="1" w:line="254" w:lineRule="auto"/>
        <w:ind w:left="540" w:right="38"/>
      </w:pPr>
      <w:r>
        <w:t xml:space="preserve">Sports Club services include but are not limited </w:t>
      </w:r>
      <w:proofErr w:type="gramStart"/>
      <w:r>
        <w:t>to:</w:t>
      </w:r>
      <w:proofErr w:type="gramEnd"/>
      <w:r>
        <w:t xml:space="preserve"> exercise consultation with consumers and instruction in the use of exercise equipment. Sports Club services must be provided in the following community recreational settings: YMCA, Sports Clubs, Community Parks and Recreation Programs or other </w:t>
      </w:r>
      <w:proofErr w:type="gramStart"/>
      <w:r>
        <w:t>community based</w:t>
      </w:r>
      <w:proofErr w:type="gramEnd"/>
      <w:r>
        <w:t xml:space="preserve"> recreation programs.</w:t>
      </w:r>
    </w:p>
    <w:p w14:paraId="12E4415E" w14:textId="77777777" w:rsidR="00941F8F" w:rsidRDefault="00941F8F">
      <w:pPr>
        <w:pStyle w:val="BodyText"/>
        <w:spacing w:before="2"/>
      </w:pPr>
    </w:p>
    <w:p w14:paraId="59AC6E91" w14:textId="77777777" w:rsidR="00941F8F" w:rsidRDefault="00182739">
      <w:pPr>
        <w:spacing w:before="1"/>
        <w:ind w:left="540"/>
        <w:rPr>
          <w:b/>
        </w:rPr>
      </w:pPr>
      <w:r>
        <w:rPr>
          <w:b/>
        </w:rPr>
        <w:t>MINIMUM</w:t>
      </w:r>
      <w:r>
        <w:rPr>
          <w:b/>
          <w:spacing w:val="-6"/>
        </w:rPr>
        <w:t xml:space="preserve"> </w:t>
      </w:r>
      <w:r>
        <w:rPr>
          <w:b/>
        </w:rPr>
        <w:t>QUALIFICATIONS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APPLICANTS</w:t>
      </w:r>
    </w:p>
    <w:p w14:paraId="471A8C17" w14:textId="278AFBA1" w:rsidR="00941F8F" w:rsidRPr="00FB1287" w:rsidRDefault="00FB1287" w:rsidP="00FB1287">
      <w:pPr>
        <w:spacing w:before="1" w:line="256" w:lineRule="auto"/>
        <w:ind w:left="540"/>
        <w:rPr>
          <w:spacing w:val="-2"/>
          <w:w w:val="105"/>
          <w:sz w:val="23"/>
        </w:rPr>
      </w:pPr>
      <w:r>
        <w:rPr>
          <w:spacing w:val="-2"/>
          <w:w w:val="105"/>
        </w:rPr>
        <w:t xml:space="preserve">A </w:t>
      </w:r>
      <w:r w:rsidR="00182739">
        <w:rPr>
          <w:spacing w:val="-2"/>
          <w:w w:val="105"/>
          <w:sz w:val="23"/>
        </w:rPr>
        <w:t>vendor providing Camping</w:t>
      </w:r>
      <w:r w:rsidR="00182739">
        <w:rPr>
          <w:spacing w:val="-7"/>
          <w:w w:val="105"/>
          <w:sz w:val="23"/>
        </w:rPr>
        <w:t xml:space="preserve"> </w:t>
      </w:r>
      <w:r w:rsidR="00182739">
        <w:rPr>
          <w:spacing w:val="-2"/>
          <w:w w:val="105"/>
          <w:sz w:val="23"/>
        </w:rPr>
        <w:t>Services</w:t>
      </w:r>
      <w:r w:rsidR="00182739">
        <w:rPr>
          <w:spacing w:val="-4"/>
          <w:w w:val="105"/>
          <w:sz w:val="23"/>
        </w:rPr>
        <w:t xml:space="preserve"> </w:t>
      </w:r>
      <w:r w:rsidR="00182739">
        <w:rPr>
          <w:spacing w:val="-2"/>
          <w:w w:val="105"/>
          <w:sz w:val="23"/>
        </w:rPr>
        <w:t xml:space="preserve">must </w:t>
      </w:r>
      <w:proofErr w:type="spellStart"/>
      <w:r>
        <w:rPr>
          <w:spacing w:val="-2"/>
          <w:w w:val="105"/>
          <w:sz w:val="23"/>
        </w:rPr>
        <w:t>posses</w:t>
      </w:r>
      <w:proofErr w:type="spellEnd"/>
      <w:r>
        <w:rPr>
          <w:spacing w:val="-2"/>
          <w:w w:val="105"/>
          <w:sz w:val="23"/>
        </w:rPr>
        <w:t xml:space="preserve"> the relevant accreditation, </w:t>
      </w:r>
      <w:proofErr w:type="gramStart"/>
      <w:r>
        <w:rPr>
          <w:spacing w:val="-2"/>
          <w:w w:val="105"/>
          <w:sz w:val="23"/>
        </w:rPr>
        <w:t>licensure</w:t>
      </w:r>
      <w:proofErr w:type="gramEnd"/>
      <w:r>
        <w:rPr>
          <w:spacing w:val="-2"/>
          <w:w w:val="105"/>
          <w:sz w:val="23"/>
        </w:rPr>
        <w:t xml:space="preserve"> and certification as well as the </w:t>
      </w:r>
      <w:r w:rsidR="00182739">
        <w:rPr>
          <w:w w:val="105"/>
          <w:sz w:val="23"/>
        </w:rPr>
        <w:t>demonstrated competence to supervise safety of activities</w:t>
      </w:r>
      <w:r>
        <w:rPr>
          <w:w w:val="105"/>
          <w:sz w:val="23"/>
        </w:rPr>
        <w:t>.</w:t>
      </w:r>
    </w:p>
    <w:p w14:paraId="133027FF" w14:textId="77777777" w:rsidR="00941F8F" w:rsidRDefault="00941F8F">
      <w:pPr>
        <w:pStyle w:val="BodyText"/>
      </w:pPr>
    </w:p>
    <w:p w14:paraId="397B2E37" w14:textId="77777777" w:rsidR="00941F8F" w:rsidRDefault="00182739">
      <w:pPr>
        <w:pStyle w:val="Heading3"/>
      </w:pP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REIMBURSEMENT</w:t>
      </w:r>
    </w:p>
    <w:p w14:paraId="21FEC453" w14:textId="77777777" w:rsidR="002B00F9" w:rsidRPr="002B00F9" w:rsidRDefault="00FB1287" w:rsidP="002B00F9">
      <w:pPr>
        <w:pStyle w:val="BodyText"/>
        <w:spacing w:before="15"/>
        <w:ind w:left="480" w:right="136"/>
        <w:rPr>
          <w:rFonts w:asciiTheme="minorHAnsi" w:hAnsiTheme="minorHAnsi" w:cstheme="minorHAnsi"/>
          <w:color w:val="212121"/>
          <w:shd w:val="clear" w:color="auto" w:fill="FFFFFF"/>
        </w:rPr>
      </w:pPr>
      <w:r w:rsidRPr="002B00F9">
        <w:rPr>
          <w:rFonts w:asciiTheme="minorHAnsi" w:hAnsiTheme="minorHAnsi" w:cstheme="minorHAnsi"/>
        </w:rPr>
        <w:t>This service is funded at a Usual and Customary (U&amp;C) rate</w:t>
      </w:r>
      <w:r w:rsidR="002B00F9" w:rsidRPr="002B00F9">
        <w:rPr>
          <w:rFonts w:asciiTheme="minorHAnsi" w:hAnsiTheme="minorHAnsi" w:cstheme="minorHAnsi"/>
        </w:rPr>
        <w:t>. Per Title 17 57210 (a)(19)</w:t>
      </w:r>
      <w:r w:rsidRPr="002B00F9">
        <w:rPr>
          <w:rFonts w:asciiTheme="minorHAnsi" w:hAnsiTheme="minorHAnsi" w:cstheme="minorHAnsi"/>
        </w:rPr>
        <w:t xml:space="preserve"> </w:t>
      </w:r>
      <w:r w:rsidR="002B00F9" w:rsidRPr="002B00F9">
        <w:rPr>
          <w:rFonts w:asciiTheme="minorHAnsi" w:hAnsiTheme="minorHAnsi" w:cstheme="minorHAnsi"/>
        </w:rPr>
        <w:t>U&amp;C means</w:t>
      </w:r>
      <w:r w:rsidRPr="002B00F9">
        <w:rPr>
          <w:rFonts w:asciiTheme="minorHAnsi" w:hAnsiTheme="minorHAnsi" w:cstheme="minorHAnsi"/>
        </w:rPr>
        <w:t xml:space="preserve"> </w:t>
      </w:r>
      <w:r w:rsidR="002B00F9" w:rsidRPr="002B00F9">
        <w:rPr>
          <w:rFonts w:asciiTheme="minorHAnsi" w:hAnsiTheme="minorHAnsi" w:cstheme="minorHAnsi"/>
        </w:rPr>
        <w:t>“</w:t>
      </w:r>
      <w:r w:rsidRPr="002B00F9">
        <w:rPr>
          <w:rFonts w:asciiTheme="minorHAnsi" w:hAnsiTheme="minorHAnsi" w:cstheme="minorHAnsi"/>
        </w:rPr>
        <w:t>the rate which is regularly charged by a vendor for a</w:t>
      </w:r>
      <w:r w:rsidRPr="002B00F9">
        <w:rPr>
          <w:rFonts w:asciiTheme="minorHAnsi" w:hAnsiTheme="minorHAnsi" w:cstheme="minorHAnsi"/>
          <w:spacing w:val="-1"/>
        </w:rPr>
        <w:t xml:space="preserve"> </w:t>
      </w:r>
      <w:r w:rsidRPr="002B00F9">
        <w:rPr>
          <w:rFonts w:asciiTheme="minorHAnsi" w:hAnsiTheme="minorHAnsi" w:cstheme="minorHAnsi"/>
        </w:rPr>
        <w:t xml:space="preserve">service </w:t>
      </w:r>
      <w:r w:rsidR="002B00F9" w:rsidRPr="002B00F9">
        <w:rPr>
          <w:rFonts w:asciiTheme="minorHAnsi" w:hAnsiTheme="minorHAnsi" w:cstheme="minorHAnsi"/>
        </w:rPr>
        <w:t>t</w:t>
      </w:r>
      <w:r w:rsidR="002B00F9" w:rsidRPr="002B00F9">
        <w:rPr>
          <w:rFonts w:asciiTheme="minorHAnsi" w:hAnsiTheme="minorHAnsi" w:cstheme="minorHAnsi"/>
          <w:color w:val="212121"/>
          <w:shd w:val="clear" w:color="auto" w:fill="FFFFFF"/>
        </w:rPr>
        <w:t xml:space="preserve">hat is used by both regional center consumers and/or their families and where at least 30% of the recipients of the given service are not regional center consumers or their families. If more than one rate is charged for a given service, the rate determined to be the usual and customary rate for a regional center consumer and/or family shall not exceed whichever rate is regularly charged to members of the general public who are seeking the service for an individual with a developmental disability who is not a regional center consumer, and any difference between the two rates must be for extra services provided </w:t>
      </w:r>
      <w:r w:rsidR="002B00F9" w:rsidRPr="002B00F9">
        <w:rPr>
          <w:rFonts w:asciiTheme="minorHAnsi" w:hAnsiTheme="minorHAnsi" w:cstheme="minorHAnsi"/>
          <w:color w:val="212121"/>
          <w:shd w:val="clear" w:color="auto" w:fill="FFFFFF"/>
        </w:rPr>
        <w:lastRenderedPageBreak/>
        <w:t xml:space="preserve">and not imposed as a surcharge to cover the cost of measures necessary for the vendor to achieve compliance with the Americans With Disabilities Act. </w:t>
      </w:r>
    </w:p>
    <w:p w14:paraId="31F27023" w14:textId="77777777" w:rsidR="002B00F9" w:rsidRPr="002B00F9" w:rsidRDefault="002B00F9" w:rsidP="002B00F9">
      <w:pPr>
        <w:pStyle w:val="BodyText"/>
        <w:spacing w:before="15"/>
        <w:ind w:left="480" w:right="136"/>
        <w:rPr>
          <w:rFonts w:asciiTheme="minorHAnsi" w:hAnsiTheme="minorHAnsi" w:cstheme="minorHAnsi"/>
          <w:color w:val="212121"/>
          <w:shd w:val="clear" w:color="auto" w:fill="FFFFFF"/>
        </w:rPr>
      </w:pPr>
    </w:p>
    <w:p w14:paraId="16AFAEC3" w14:textId="61328514" w:rsidR="00FB1287" w:rsidRPr="002B00F9" w:rsidRDefault="002B00F9" w:rsidP="002B00F9">
      <w:pPr>
        <w:pStyle w:val="BodyText"/>
        <w:spacing w:before="15"/>
        <w:ind w:left="480" w:right="136"/>
        <w:rPr>
          <w:rFonts w:asciiTheme="minorHAnsi" w:hAnsiTheme="minorHAnsi" w:cstheme="minorHAnsi"/>
        </w:rPr>
      </w:pPr>
      <w:r w:rsidRPr="002B00F9">
        <w:rPr>
          <w:rFonts w:asciiTheme="minorHAnsi" w:hAnsiTheme="minorHAnsi" w:cstheme="minorHAnsi"/>
          <w:color w:val="212121"/>
          <w:shd w:val="clear" w:color="auto" w:fill="FFFFFF"/>
        </w:rPr>
        <w:t xml:space="preserve">New programs applying for vendorization shall provide a written declaration to the vendoring regional center that it is their intent to comply with this </w:t>
      </w:r>
      <w:proofErr w:type="gramStart"/>
      <w:r w:rsidRPr="002B00F9">
        <w:rPr>
          <w:rFonts w:asciiTheme="minorHAnsi" w:hAnsiTheme="minorHAnsi" w:cstheme="minorHAnsi"/>
          <w:color w:val="212121"/>
          <w:shd w:val="clear" w:color="auto" w:fill="FFFFFF"/>
        </w:rPr>
        <w:t>subsection, and</w:t>
      </w:r>
      <w:proofErr w:type="gramEnd"/>
      <w:r w:rsidRPr="002B00F9">
        <w:rPr>
          <w:rFonts w:asciiTheme="minorHAnsi" w:hAnsiTheme="minorHAnsi" w:cstheme="minorHAnsi"/>
          <w:color w:val="212121"/>
          <w:shd w:val="clear" w:color="auto" w:fill="FFFFFF"/>
        </w:rPr>
        <w:t xml:space="preserve"> will be allowed up to 12 months to achieve compliance. The vendoring regional center may audit a vendor's records to determine compliance with this subsection and, if the vendor is found not to </w:t>
      </w:r>
      <w:proofErr w:type="gramStart"/>
      <w:r w:rsidRPr="002B00F9">
        <w:rPr>
          <w:rFonts w:asciiTheme="minorHAnsi" w:hAnsiTheme="minorHAnsi" w:cstheme="minorHAnsi"/>
          <w:color w:val="212121"/>
          <w:shd w:val="clear" w:color="auto" w:fill="FFFFFF"/>
        </w:rPr>
        <w:t>be in compliance</w:t>
      </w:r>
      <w:proofErr w:type="gramEnd"/>
      <w:r w:rsidRPr="002B00F9">
        <w:rPr>
          <w:rFonts w:asciiTheme="minorHAnsi" w:hAnsiTheme="minorHAnsi" w:cstheme="minorHAnsi"/>
          <w:color w:val="212121"/>
          <w:shd w:val="clear" w:color="auto" w:fill="FFFFFF"/>
        </w:rPr>
        <w:t>, shall revoke the vendor's usual and customary rate and negotiate a rate pursuant to Section 57300; and</w:t>
      </w:r>
    </w:p>
    <w:p w14:paraId="6A2846A6" w14:textId="77777777" w:rsidR="002B00F9" w:rsidRPr="002B00F9" w:rsidRDefault="002B00F9" w:rsidP="002B00F9">
      <w:pPr>
        <w:pStyle w:val="BodyText"/>
        <w:spacing w:before="15"/>
        <w:ind w:left="480" w:right="136"/>
        <w:rPr>
          <w:rFonts w:asciiTheme="minorHAnsi" w:hAnsiTheme="minorHAnsi" w:cstheme="minorHAnsi"/>
        </w:rPr>
      </w:pPr>
    </w:p>
    <w:p w14:paraId="6CD01D11" w14:textId="2B87A841" w:rsidR="00FB1287" w:rsidRPr="002B00F9" w:rsidRDefault="00FB1287" w:rsidP="00FB1287">
      <w:pPr>
        <w:pStyle w:val="BodyText"/>
        <w:spacing w:before="1" w:line="267" w:lineRule="exact"/>
        <w:ind w:left="480"/>
        <w:rPr>
          <w:rFonts w:asciiTheme="minorHAnsi" w:hAnsiTheme="minorHAnsi" w:cstheme="minorHAnsi"/>
        </w:rPr>
      </w:pPr>
      <w:r w:rsidRPr="002B00F9">
        <w:rPr>
          <w:rFonts w:asciiTheme="minorHAnsi" w:hAnsiTheme="minorHAnsi" w:cstheme="minorHAnsi"/>
        </w:rPr>
        <w:t>Please</w:t>
      </w:r>
      <w:r w:rsidRPr="002B00F9">
        <w:rPr>
          <w:rFonts w:asciiTheme="minorHAnsi" w:hAnsiTheme="minorHAnsi" w:cstheme="minorHAnsi"/>
          <w:spacing w:val="14"/>
        </w:rPr>
        <w:t xml:space="preserve"> </w:t>
      </w:r>
      <w:r w:rsidRPr="002B00F9">
        <w:rPr>
          <w:rFonts w:asciiTheme="minorHAnsi" w:hAnsiTheme="minorHAnsi" w:cstheme="minorHAnsi"/>
        </w:rPr>
        <w:t>note</w:t>
      </w:r>
      <w:r w:rsidRPr="002B00F9">
        <w:rPr>
          <w:rFonts w:asciiTheme="minorHAnsi" w:hAnsiTheme="minorHAnsi" w:cstheme="minorHAnsi"/>
          <w:spacing w:val="14"/>
        </w:rPr>
        <w:t xml:space="preserve"> </w:t>
      </w:r>
      <w:r w:rsidRPr="002B00F9">
        <w:rPr>
          <w:rFonts w:asciiTheme="minorHAnsi" w:hAnsiTheme="minorHAnsi" w:cstheme="minorHAnsi"/>
        </w:rPr>
        <w:t>that</w:t>
      </w:r>
      <w:r w:rsidRPr="002B00F9">
        <w:rPr>
          <w:rFonts w:asciiTheme="minorHAnsi" w:hAnsiTheme="minorHAnsi" w:cstheme="minorHAnsi"/>
          <w:spacing w:val="15"/>
        </w:rPr>
        <w:t xml:space="preserve"> </w:t>
      </w:r>
      <w:r w:rsidRPr="002B00F9">
        <w:rPr>
          <w:rFonts w:asciiTheme="minorHAnsi" w:hAnsiTheme="minorHAnsi" w:cstheme="minorHAnsi"/>
        </w:rPr>
        <w:t>per</w:t>
      </w:r>
      <w:r w:rsidRPr="002B00F9">
        <w:rPr>
          <w:rFonts w:asciiTheme="minorHAnsi" w:hAnsiTheme="minorHAnsi" w:cstheme="minorHAnsi"/>
          <w:spacing w:val="14"/>
        </w:rPr>
        <w:t xml:space="preserve"> </w:t>
      </w:r>
      <w:r w:rsidRPr="002B00F9">
        <w:rPr>
          <w:rFonts w:asciiTheme="minorHAnsi" w:hAnsiTheme="minorHAnsi" w:cstheme="minorHAnsi"/>
        </w:rPr>
        <w:t>Welfare</w:t>
      </w:r>
      <w:r w:rsidRPr="002B00F9">
        <w:rPr>
          <w:rFonts w:asciiTheme="minorHAnsi" w:hAnsiTheme="minorHAnsi" w:cstheme="minorHAnsi"/>
          <w:spacing w:val="15"/>
        </w:rPr>
        <w:t xml:space="preserve"> </w:t>
      </w:r>
      <w:r w:rsidRPr="002B00F9">
        <w:rPr>
          <w:rFonts w:asciiTheme="minorHAnsi" w:hAnsiTheme="minorHAnsi" w:cstheme="minorHAnsi"/>
        </w:rPr>
        <w:t>and</w:t>
      </w:r>
      <w:r w:rsidRPr="002B00F9">
        <w:rPr>
          <w:rFonts w:asciiTheme="minorHAnsi" w:hAnsiTheme="minorHAnsi" w:cstheme="minorHAnsi"/>
          <w:spacing w:val="15"/>
        </w:rPr>
        <w:t xml:space="preserve"> </w:t>
      </w:r>
      <w:r w:rsidRPr="002B00F9">
        <w:rPr>
          <w:rFonts w:asciiTheme="minorHAnsi" w:hAnsiTheme="minorHAnsi" w:cstheme="minorHAnsi"/>
        </w:rPr>
        <w:t>Institutions</w:t>
      </w:r>
      <w:r w:rsidRPr="002B00F9">
        <w:rPr>
          <w:rFonts w:asciiTheme="minorHAnsi" w:hAnsiTheme="minorHAnsi" w:cstheme="minorHAnsi"/>
          <w:spacing w:val="15"/>
        </w:rPr>
        <w:t xml:space="preserve"> </w:t>
      </w:r>
      <w:r w:rsidRPr="002B00F9">
        <w:rPr>
          <w:rFonts w:asciiTheme="minorHAnsi" w:hAnsiTheme="minorHAnsi" w:cstheme="minorHAnsi"/>
        </w:rPr>
        <w:t>Code</w:t>
      </w:r>
      <w:r w:rsidRPr="002B00F9">
        <w:rPr>
          <w:rFonts w:asciiTheme="minorHAnsi" w:hAnsiTheme="minorHAnsi" w:cstheme="minorHAnsi"/>
          <w:spacing w:val="14"/>
        </w:rPr>
        <w:t xml:space="preserve"> </w:t>
      </w:r>
      <w:r w:rsidRPr="002B00F9">
        <w:rPr>
          <w:rFonts w:asciiTheme="minorHAnsi" w:hAnsiTheme="minorHAnsi" w:cstheme="minorHAnsi"/>
        </w:rPr>
        <w:t>(WIC)</w:t>
      </w:r>
      <w:r w:rsidRPr="002B00F9">
        <w:rPr>
          <w:rFonts w:asciiTheme="minorHAnsi" w:hAnsiTheme="minorHAnsi" w:cstheme="minorHAnsi"/>
          <w:spacing w:val="15"/>
        </w:rPr>
        <w:t xml:space="preserve"> </w:t>
      </w:r>
      <w:r w:rsidRPr="002B00F9">
        <w:rPr>
          <w:rFonts w:asciiTheme="minorHAnsi" w:hAnsiTheme="minorHAnsi" w:cstheme="minorHAnsi"/>
        </w:rPr>
        <w:t>4650.10</w:t>
      </w:r>
      <w:r w:rsidRPr="002B00F9">
        <w:rPr>
          <w:rFonts w:asciiTheme="minorHAnsi" w:hAnsiTheme="minorHAnsi" w:cstheme="minorHAnsi"/>
          <w:spacing w:val="17"/>
        </w:rPr>
        <w:t xml:space="preserve"> </w:t>
      </w:r>
      <w:r w:rsidRPr="002B00F9">
        <w:rPr>
          <w:rFonts w:asciiTheme="minorHAnsi" w:hAnsiTheme="minorHAnsi" w:cstheme="minorHAnsi"/>
        </w:rPr>
        <w:t>all</w:t>
      </w:r>
      <w:r w:rsidRPr="002B00F9">
        <w:rPr>
          <w:rFonts w:asciiTheme="minorHAnsi" w:hAnsiTheme="minorHAnsi" w:cstheme="minorHAnsi"/>
          <w:spacing w:val="15"/>
        </w:rPr>
        <w:t xml:space="preserve"> </w:t>
      </w:r>
      <w:r w:rsidRPr="002B00F9">
        <w:rPr>
          <w:rFonts w:asciiTheme="minorHAnsi" w:hAnsiTheme="minorHAnsi" w:cstheme="minorHAnsi"/>
        </w:rPr>
        <w:t>generic</w:t>
      </w:r>
      <w:r w:rsidRPr="002B00F9">
        <w:rPr>
          <w:rFonts w:asciiTheme="minorHAnsi" w:hAnsiTheme="minorHAnsi" w:cstheme="minorHAnsi"/>
          <w:spacing w:val="16"/>
        </w:rPr>
        <w:t xml:space="preserve"> </w:t>
      </w:r>
      <w:r w:rsidRPr="002B00F9">
        <w:rPr>
          <w:rFonts w:asciiTheme="minorHAnsi" w:hAnsiTheme="minorHAnsi" w:cstheme="minorHAnsi"/>
        </w:rPr>
        <w:t>resources</w:t>
      </w:r>
      <w:r w:rsidRPr="002B00F9">
        <w:rPr>
          <w:rFonts w:asciiTheme="minorHAnsi" w:hAnsiTheme="minorHAnsi" w:cstheme="minorHAnsi"/>
          <w:spacing w:val="16"/>
        </w:rPr>
        <w:t xml:space="preserve"> </w:t>
      </w:r>
      <w:r w:rsidR="002B00F9" w:rsidRPr="002B00F9">
        <w:rPr>
          <w:rFonts w:asciiTheme="minorHAnsi" w:hAnsiTheme="minorHAnsi" w:cstheme="minorHAnsi"/>
        </w:rPr>
        <w:t>must be</w:t>
      </w:r>
      <w:r w:rsidRPr="002B00F9">
        <w:rPr>
          <w:rFonts w:asciiTheme="minorHAnsi" w:hAnsiTheme="minorHAnsi" w:cstheme="minorHAnsi"/>
          <w:spacing w:val="15"/>
        </w:rPr>
        <w:t xml:space="preserve"> </w:t>
      </w:r>
      <w:r w:rsidRPr="002B00F9">
        <w:rPr>
          <w:rFonts w:asciiTheme="minorHAnsi" w:hAnsiTheme="minorHAnsi" w:cstheme="minorHAnsi"/>
        </w:rPr>
        <w:t>explored</w:t>
      </w:r>
      <w:r w:rsidRPr="002B00F9">
        <w:rPr>
          <w:rFonts w:asciiTheme="minorHAnsi" w:hAnsiTheme="minorHAnsi" w:cstheme="minorHAnsi"/>
          <w:spacing w:val="16"/>
        </w:rPr>
        <w:t xml:space="preserve"> </w:t>
      </w:r>
      <w:r w:rsidRPr="002B00F9">
        <w:rPr>
          <w:rFonts w:asciiTheme="minorHAnsi" w:hAnsiTheme="minorHAnsi" w:cstheme="minorHAnsi"/>
          <w:spacing w:val="-5"/>
        </w:rPr>
        <w:t>in</w:t>
      </w:r>
    </w:p>
    <w:p w14:paraId="06F81827" w14:textId="77777777" w:rsidR="00FB1287" w:rsidRPr="002B00F9" w:rsidRDefault="00FB1287" w:rsidP="00FB1287">
      <w:pPr>
        <w:pStyle w:val="BodyText"/>
        <w:spacing w:line="267" w:lineRule="exact"/>
        <w:ind w:left="480"/>
        <w:rPr>
          <w:rFonts w:asciiTheme="minorHAnsi" w:hAnsiTheme="minorHAnsi" w:cstheme="minorHAnsi"/>
        </w:rPr>
      </w:pPr>
      <w:r w:rsidRPr="002B00F9">
        <w:rPr>
          <w:rFonts w:asciiTheme="minorHAnsi" w:hAnsiTheme="minorHAnsi" w:cstheme="minorHAnsi"/>
        </w:rPr>
        <w:t>the</w:t>
      </w:r>
      <w:r w:rsidRPr="002B00F9">
        <w:rPr>
          <w:rFonts w:asciiTheme="minorHAnsi" w:hAnsiTheme="minorHAnsi" w:cstheme="minorHAnsi"/>
          <w:spacing w:val="-6"/>
        </w:rPr>
        <w:t xml:space="preserve"> </w:t>
      </w:r>
      <w:r w:rsidRPr="002B00F9">
        <w:rPr>
          <w:rFonts w:asciiTheme="minorHAnsi" w:hAnsiTheme="minorHAnsi" w:cstheme="minorHAnsi"/>
        </w:rPr>
        <w:t>individual’s</w:t>
      </w:r>
      <w:r w:rsidRPr="002B00F9">
        <w:rPr>
          <w:rFonts w:asciiTheme="minorHAnsi" w:hAnsiTheme="minorHAnsi" w:cstheme="minorHAnsi"/>
          <w:spacing w:val="-4"/>
        </w:rPr>
        <w:t xml:space="preserve"> </w:t>
      </w:r>
      <w:r w:rsidRPr="002B00F9">
        <w:rPr>
          <w:rFonts w:asciiTheme="minorHAnsi" w:hAnsiTheme="minorHAnsi" w:cstheme="minorHAnsi"/>
        </w:rPr>
        <w:t>community</w:t>
      </w:r>
      <w:r w:rsidRPr="002B00F9">
        <w:rPr>
          <w:rFonts w:asciiTheme="minorHAnsi" w:hAnsiTheme="minorHAnsi" w:cstheme="minorHAnsi"/>
          <w:spacing w:val="-5"/>
        </w:rPr>
        <w:t xml:space="preserve"> </w:t>
      </w:r>
      <w:r w:rsidRPr="002B00F9">
        <w:rPr>
          <w:rFonts w:asciiTheme="minorHAnsi" w:hAnsiTheme="minorHAnsi" w:cstheme="minorHAnsi"/>
        </w:rPr>
        <w:t>prior</w:t>
      </w:r>
      <w:r w:rsidRPr="002B00F9">
        <w:rPr>
          <w:rFonts w:asciiTheme="minorHAnsi" w:hAnsiTheme="minorHAnsi" w:cstheme="minorHAnsi"/>
          <w:spacing w:val="-4"/>
        </w:rPr>
        <w:t xml:space="preserve"> </w:t>
      </w:r>
      <w:r w:rsidRPr="002B00F9">
        <w:rPr>
          <w:rFonts w:asciiTheme="minorHAnsi" w:hAnsiTheme="minorHAnsi" w:cstheme="minorHAnsi"/>
        </w:rPr>
        <w:t>to</w:t>
      </w:r>
      <w:r w:rsidRPr="002B00F9">
        <w:rPr>
          <w:rFonts w:asciiTheme="minorHAnsi" w:hAnsiTheme="minorHAnsi" w:cstheme="minorHAnsi"/>
          <w:spacing w:val="-3"/>
        </w:rPr>
        <w:t xml:space="preserve"> </w:t>
      </w:r>
      <w:r w:rsidRPr="002B00F9">
        <w:rPr>
          <w:rFonts w:asciiTheme="minorHAnsi" w:hAnsiTheme="minorHAnsi" w:cstheme="minorHAnsi"/>
        </w:rPr>
        <w:t>requesting</w:t>
      </w:r>
      <w:r w:rsidRPr="002B00F9">
        <w:rPr>
          <w:rFonts w:asciiTheme="minorHAnsi" w:hAnsiTheme="minorHAnsi" w:cstheme="minorHAnsi"/>
          <w:spacing w:val="-4"/>
        </w:rPr>
        <w:t xml:space="preserve"> </w:t>
      </w:r>
      <w:r w:rsidRPr="002B00F9">
        <w:rPr>
          <w:rFonts w:asciiTheme="minorHAnsi" w:hAnsiTheme="minorHAnsi" w:cstheme="minorHAnsi"/>
        </w:rPr>
        <w:t>regional</w:t>
      </w:r>
      <w:r w:rsidRPr="002B00F9">
        <w:rPr>
          <w:rFonts w:asciiTheme="minorHAnsi" w:hAnsiTheme="minorHAnsi" w:cstheme="minorHAnsi"/>
          <w:spacing w:val="-4"/>
        </w:rPr>
        <w:t xml:space="preserve"> </w:t>
      </w:r>
      <w:r w:rsidRPr="002B00F9">
        <w:rPr>
          <w:rFonts w:asciiTheme="minorHAnsi" w:hAnsiTheme="minorHAnsi" w:cstheme="minorHAnsi"/>
        </w:rPr>
        <w:t>center</w:t>
      </w:r>
      <w:r w:rsidRPr="002B00F9">
        <w:rPr>
          <w:rFonts w:asciiTheme="minorHAnsi" w:hAnsiTheme="minorHAnsi" w:cstheme="minorHAnsi"/>
          <w:spacing w:val="-3"/>
        </w:rPr>
        <w:t xml:space="preserve"> </w:t>
      </w:r>
      <w:r w:rsidRPr="002B00F9">
        <w:rPr>
          <w:rFonts w:asciiTheme="minorHAnsi" w:hAnsiTheme="minorHAnsi" w:cstheme="minorHAnsi"/>
          <w:spacing w:val="-2"/>
        </w:rPr>
        <w:t>funding.</w:t>
      </w:r>
    </w:p>
    <w:p w14:paraId="76C3571F" w14:textId="77777777" w:rsidR="00FB1287" w:rsidRPr="002B00F9" w:rsidRDefault="00FB1287" w:rsidP="00FB1287">
      <w:pPr>
        <w:pStyle w:val="BodyText"/>
        <w:rPr>
          <w:rFonts w:asciiTheme="minorHAnsi" w:hAnsiTheme="minorHAnsi" w:cstheme="minorHAnsi"/>
        </w:rPr>
      </w:pPr>
    </w:p>
    <w:p w14:paraId="3EF240FD" w14:textId="77777777" w:rsidR="00FB1287" w:rsidRPr="002B00F9" w:rsidRDefault="00FB1287" w:rsidP="00FB1287">
      <w:pPr>
        <w:pStyle w:val="BodyText"/>
        <w:ind w:left="480" w:right="25"/>
        <w:rPr>
          <w:rFonts w:asciiTheme="minorHAnsi" w:hAnsiTheme="minorHAnsi" w:cstheme="minorHAnsi"/>
        </w:rPr>
      </w:pPr>
      <w:r w:rsidRPr="002B00F9">
        <w:rPr>
          <w:rFonts w:asciiTheme="minorHAnsi" w:hAnsiTheme="minorHAnsi" w:cstheme="minorHAnsi"/>
        </w:rPr>
        <w:t>This</w:t>
      </w:r>
      <w:r w:rsidRPr="002B00F9">
        <w:rPr>
          <w:rFonts w:asciiTheme="minorHAnsi" w:hAnsiTheme="minorHAnsi" w:cstheme="minorHAnsi"/>
          <w:spacing w:val="-1"/>
        </w:rPr>
        <w:t xml:space="preserve"> </w:t>
      </w:r>
      <w:r w:rsidRPr="002B00F9">
        <w:rPr>
          <w:rFonts w:asciiTheme="minorHAnsi" w:hAnsiTheme="minorHAnsi" w:cstheme="minorHAnsi"/>
        </w:rPr>
        <w:t>project</w:t>
      </w:r>
      <w:r w:rsidRPr="002B00F9">
        <w:rPr>
          <w:rFonts w:asciiTheme="minorHAnsi" w:hAnsiTheme="minorHAnsi" w:cstheme="minorHAnsi"/>
          <w:spacing w:val="-2"/>
        </w:rPr>
        <w:t xml:space="preserve"> </w:t>
      </w:r>
      <w:r w:rsidRPr="00501CE2">
        <w:rPr>
          <w:rFonts w:asciiTheme="minorHAnsi" w:hAnsiTheme="minorHAnsi" w:cstheme="minorHAnsi"/>
          <w:b/>
          <w:bCs/>
        </w:rPr>
        <w:t>DOES</w:t>
      </w:r>
      <w:r w:rsidRPr="00501CE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501CE2">
        <w:rPr>
          <w:rFonts w:asciiTheme="minorHAnsi" w:hAnsiTheme="minorHAnsi" w:cstheme="minorHAnsi"/>
          <w:b/>
          <w:bCs/>
        </w:rPr>
        <w:t>NOT</w:t>
      </w:r>
      <w:r w:rsidRPr="002B00F9">
        <w:rPr>
          <w:rFonts w:asciiTheme="minorHAnsi" w:hAnsiTheme="minorHAnsi" w:cstheme="minorHAnsi"/>
          <w:spacing w:val="-1"/>
        </w:rPr>
        <w:t xml:space="preserve"> </w:t>
      </w:r>
      <w:r w:rsidRPr="002B00F9">
        <w:rPr>
          <w:rFonts w:asciiTheme="minorHAnsi" w:hAnsiTheme="minorHAnsi" w:cstheme="minorHAnsi"/>
        </w:rPr>
        <w:t>have startup</w:t>
      </w:r>
      <w:r w:rsidRPr="002B00F9">
        <w:rPr>
          <w:rFonts w:asciiTheme="minorHAnsi" w:hAnsiTheme="minorHAnsi" w:cstheme="minorHAnsi"/>
          <w:spacing w:val="-2"/>
        </w:rPr>
        <w:t xml:space="preserve"> </w:t>
      </w:r>
      <w:r w:rsidRPr="002B00F9">
        <w:rPr>
          <w:rFonts w:asciiTheme="minorHAnsi" w:hAnsiTheme="minorHAnsi" w:cstheme="minorHAnsi"/>
        </w:rPr>
        <w:t>funds</w:t>
      </w:r>
      <w:r w:rsidRPr="002B00F9">
        <w:rPr>
          <w:rFonts w:asciiTheme="minorHAnsi" w:hAnsiTheme="minorHAnsi" w:cstheme="minorHAnsi"/>
          <w:spacing w:val="-1"/>
        </w:rPr>
        <w:t xml:space="preserve"> </w:t>
      </w:r>
      <w:r w:rsidRPr="002B00F9">
        <w:rPr>
          <w:rFonts w:asciiTheme="minorHAnsi" w:hAnsiTheme="minorHAnsi" w:cstheme="minorHAnsi"/>
        </w:rPr>
        <w:t>associated.</w:t>
      </w:r>
      <w:bookmarkStart w:id="1" w:name="_Hlk162603048"/>
      <w:r w:rsidRPr="002B00F9">
        <w:rPr>
          <w:rFonts w:asciiTheme="minorHAnsi" w:hAnsiTheme="minorHAnsi" w:cstheme="minorHAnsi"/>
          <w:spacing w:val="-4"/>
        </w:rPr>
        <w:t xml:space="preserve"> </w:t>
      </w:r>
      <w:r w:rsidRPr="002B00F9">
        <w:rPr>
          <w:rFonts w:asciiTheme="minorHAnsi" w:hAnsiTheme="minorHAnsi" w:cstheme="minorHAnsi"/>
        </w:rPr>
        <w:t>Applicants are</w:t>
      </w:r>
      <w:r w:rsidRPr="002B00F9">
        <w:rPr>
          <w:rFonts w:asciiTheme="minorHAnsi" w:hAnsiTheme="minorHAnsi" w:cstheme="minorHAnsi"/>
          <w:spacing w:val="-1"/>
        </w:rPr>
        <w:t xml:space="preserve"> </w:t>
      </w:r>
      <w:r w:rsidRPr="002B00F9">
        <w:rPr>
          <w:rFonts w:asciiTheme="minorHAnsi" w:hAnsiTheme="minorHAnsi" w:cstheme="minorHAnsi"/>
        </w:rPr>
        <w:t>responsible</w:t>
      </w:r>
      <w:r w:rsidRPr="002B00F9">
        <w:rPr>
          <w:rFonts w:asciiTheme="minorHAnsi" w:hAnsiTheme="minorHAnsi" w:cstheme="minorHAnsi"/>
          <w:spacing w:val="-6"/>
        </w:rPr>
        <w:t xml:space="preserve"> </w:t>
      </w:r>
      <w:r w:rsidRPr="002B00F9">
        <w:rPr>
          <w:rFonts w:asciiTheme="minorHAnsi" w:hAnsiTheme="minorHAnsi" w:cstheme="minorHAnsi"/>
        </w:rPr>
        <w:t>for</w:t>
      </w:r>
      <w:r w:rsidRPr="002B00F9">
        <w:rPr>
          <w:rFonts w:asciiTheme="minorHAnsi" w:hAnsiTheme="minorHAnsi" w:cstheme="minorHAnsi"/>
          <w:spacing w:val="-3"/>
        </w:rPr>
        <w:t xml:space="preserve"> </w:t>
      </w:r>
      <w:r w:rsidRPr="002B00F9">
        <w:rPr>
          <w:rFonts w:asciiTheme="minorHAnsi" w:hAnsiTheme="minorHAnsi" w:cstheme="minorHAnsi"/>
        </w:rPr>
        <w:t>100%</w:t>
      </w:r>
      <w:r w:rsidRPr="002B00F9">
        <w:rPr>
          <w:rFonts w:asciiTheme="minorHAnsi" w:hAnsiTheme="minorHAnsi" w:cstheme="minorHAnsi"/>
          <w:spacing w:val="-3"/>
        </w:rPr>
        <w:t xml:space="preserve"> </w:t>
      </w:r>
      <w:r w:rsidRPr="002B00F9">
        <w:rPr>
          <w:rFonts w:asciiTheme="minorHAnsi" w:hAnsiTheme="minorHAnsi" w:cstheme="minorHAnsi"/>
        </w:rPr>
        <w:t>of</w:t>
      </w:r>
      <w:r w:rsidRPr="002B00F9">
        <w:rPr>
          <w:rFonts w:asciiTheme="minorHAnsi" w:hAnsiTheme="minorHAnsi" w:cstheme="minorHAnsi"/>
          <w:spacing w:val="-3"/>
        </w:rPr>
        <w:t xml:space="preserve"> </w:t>
      </w:r>
      <w:r w:rsidRPr="002B00F9">
        <w:rPr>
          <w:rFonts w:asciiTheme="minorHAnsi" w:hAnsiTheme="minorHAnsi" w:cstheme="minorHAnsi"/>
        </w:rPr>
        <w:t>the</w:t>
      </w:r>
      <w:r w:rsidRPr="002B00F9">
        <w:rPr>
          <w:rFonts w:asciiTheme="minorHAnsi" w:hAnsiTheme="minorHAnsi" w:cstheme="minorHAnsi"/>
          <w:spacing w:val="-1"/>
        </w:rPr>
        <w:t xml:space="preserve"> </w:t>
      </w:r>
      <w:r w:rsidRPr="002B00F9">
        <w:rPr>
          <w:rFonts w:asciiTheme="minorHAnsi" w:hAnsiTheme="minorHAnsi" w:cstheme="minorHAnsi"/>
        </w:rPr>
        <w:t>initial</w:t>
      </w:r>
      <w:r w:rsidRPr="002B00F9">
        <w:rPr>
          <w:rFonts w:asciiTheme="minorHAnsi" w:hAnsiTheme="minorHAnsi" w:cstheme="minorHAnsi"/>
          <w:spacing w:val="-4"/>
        </w:rPr>
        <w:t xml:space="preserve"> </w:t>
      </w:r>
      <w:r w:rsidRPr="002B00F9">
        <w:rPr>
          <w:rFonts w:asciiTheme="minorHAnsi" w:hAnsiTheme="minorHAnsi" w:cstheme="minorHAnsi"/>
        </w:rPr>
        <w:t>start-up cost and continued maintenance of the business. Additionally, pursuant to Title 17 section 54322, (d) (10) Regional Centers cannot guarantee referrals.</w:t>
      </w:r>
      <w:bookmarkEnd w:id="1"/>
    </w:p>
    <w:p w14:paraId="6EB40625" w14:textId="77777777" w:rsidR="00FB1287" w:rsidRDefault="00FB1287" w:rsidP="00FB1287">
      <w:pPr>
        <w:pStyle w:val="BodyText"/>
        <w:spacing w:before="3"/>
      </w:pPr>
    </w:p>
    <w:p w14:paraId="6072830F" w14:textId="2BBC0E4B" w:rsidR="00941F8F" w:rsidRDefault="00182739">
      <w:pPr>
        <w:pStyle w:val="BodyText"/>
        <w:tabs>
          <w:tab w:val="left" w:pos="8821"/>
        </w:tabs>
        <w:spacing w:line="268" w:lineRule="exact"/>
        <w:ind w:left="900"/>
      </w:pPr>
      <w:r>
        <w:tab/>
      </w:r>
    </w:p>
    <w:sectPr w:rsidR="00941F8F">
      <w:pgSz w:w="12240" w:h="15840"/>
      <w:pgMar w:top="620" w:right="9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40B3D"/>
    <w:multiLevelType w:val="hybridMultilevel"/>
    <w:tmpl w:val="8D580990"/>
    <w:lvl w:ilvl="0" w:tplc="45FC54EA">
      <w:numFmt w:val="bullet"/>
      <w:lvlText w:val=""/>
      <w:lvlJc w:val="left"/>
      <w:pPr>
        <w:ind w:left="8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FA460174">
      <w:numFmt w:val="bullet"/>
      <w:lvlText w:val="•"/>
      <w:lvlJc w:val="left"/>
      <w:pPr>
        <w:ind w:left="1152" w:hanging="361"/>
      </w:pPr>
      <w:rPr>
        <w:rFonts w:hint="default"/>
      </w:rPr>
    </w:lvl>
    <w:lvl w:ilvl="2" w:tplc="1AF2F7B6">
      <w:numFmt w:val="bullet"/>
      <w:lvlText w:val="•"/>
      <w:lvlJc w:val="left"/>
      <w:pPr>
        <w:ind w:left="1424" w:hanging="361"/>
      </w:pPr>
      <w:rPr>
        <w:rFonts w:hint="default"/>
      </w:rPr>
    </w:lvl>
    <w:lvl w:ilvl="3" w:tplc="B9581140">
      <w:numFmt w:val="bullet"/>
      <w:lvlText w:val="•"/>
      <w:lvlJc w:val="left"/>
      <w:pPr>
        <w:ind w:left="1696" w:hanging="361"/>
      </w:pPr>
      <w:rPr>
        <w:rFonts w:hint="default"/>
      </w:rPr>
    </w:lvl>
    <w:lvl w:ilvl="4" w:tplc="3ABCB07E">
      <w:numFmt w:val="bullet"/>
      <w:lvlText w:val="•"/>
      <w:lvlJc w:val="left"/>
      <w:pPr>
        <w:ind w:left="1968" w:hanging="361"/>
      </w:pPr>
      <w:rPr>
        <w:rFonts w:hint="default"/>
      </w:rPr>
    </w:lvl>
    <w:lvl w:ilvl="5" w:tplc="3E3CE2DC">
      <w:numFmt w:val="bullet"/>
      <w:lvlText w:val="•"/>
      <w:lvlJc w:val="left"/>
      <w:pPr>
        <w:ind w:left="2240" w:hanging="361"/>
      </w:pPr>
      <w:rPr>
        <w:rFonts w:hint="default"/>
      </w:rPr>
    </w:lvl>
    <w:lvl w:ilvl="6" w:tplc="AEE4EF8E">
      <w:numFmt w:val="bullet"/>
      <w:lvlText w:val="•"/>
      <w:lvlJc w:val="left"/>
      <w:pPr>
        <w:ind w:left="2512" w:hanging="361"/>
      </w:pPr>
      <w:rPr>
        <w:rFonts w:hint="default"/>
      </w:rPr>
    </w:lvl>
    <w:lvl w:ilvl="7" w:tplc="B57871A4">
      <w:numFmt w:val="bullet"/>
      <w:lvlText w:val="•"/>
      <w:lvlJc w:val="left"/>
      <w:pPr>
        <w:ind w:left="2784" w:hanging="361"/>
      </w:pPr>
      <w:rPr>
        <w:rFonts w:hint="default"/>
      </w:rPr>
    </w:lvl>
    <w:lvl w:ilvl="8" w:tplc="26B42CA8">
      <w:numFmt w:val="bullet"/>
      <w:lvlText w:val="•"/>
      <w:lvlJc w:val="left"/>
      <w:pPr>
        <w:ind w:left="3056" w:hanging="361"/>
      </w:pPr>
      <w:rPr>
        <w:rFonts w:hint="default"/>
      </w:rPr>
    </w:lvl>
  </w:abstractNum>
  <w:abstractNum w:abstractNumId="1" w15:restartNumberingAfterBreak="0">
    <w:nsid w:val="1CAA64D0"/>
    <w:multiLevelType w:val="hybridMultilevel"/>
    <w:tmpl w:val="92E4CB5A"/>
    <w:lvl w:ilvl="0" w:tplc="DA32354A">
      <w:start w:val="1"/>
      <w:numFmt w:val="decimal"/>
      <w:lvlText w:val="%1."/>
      <w:lvlJc w:val="left"/>
      <w:pPr>
        <w:ind w:left="16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9867D76">
      <w:numFmt w:val="bullet"/>
      <w:lvlText w:val="•"/>
      <w:lvlJc w:val="left"/>
      <w:pPr>
        <w:ind w:left="2532" w:hanging="720"/>
      </w:pPr>
      <w:rPr>
        <w:rFonts w:hint="default"/>
      </w:rPr>
    </w:lvl>
    <w:lvl w:ilvl="2" w:tplc="A2DEAE5C">
      <w:numFmt w:val="bullet"/>
      <w:lvlText w:val="•"/>
      <w:lvlJc w:val="left"/>
      <w:pPr>
        <w:ind w:left="3444" w:hanging="720"/>
      </w:pPr>
      <w:rPr>
        <w:rFonts w:hint="default"/>
      </w:rPr>
    </w:lvl>
    <w:lvl w:ilvl="3" w:tplc="9208BEFE">
      <w:numFmt w:val="bullet"/>
      <w:lvlText w:val="•"/>
      <w:lvlJc w:val="left"/>
      <w:pPr>
        <w:ind w:left="4356" w:hanging="720"/>
      </w:pPr>
      <w:rPr>
        <w:rFonts w:hint="default"/>
      </w:rPr>
    </w:lvl>
    <w:lvl w:ilvl="4" w:tplc="A40E2EC0">
      <w:numFmt w:val="bullet"/>
      <w:lvlText w:val="•"/>
      <w:lvlJc w:val="left"/>
      <w:pPr>
        <w:ind w:left="5268" w:hanging="720"/>
      </w:pPr>
      <w:rPr>
        <w:rFonts w:hint="default"/>
      </w:rPr>
    </w:lvl>
    <w:lvl w:ilvl="5" w:tplc="DD64C2E6">
      <w:numFmt w:val="bullet"/>
      <w:lvlText w:val="•"/>
      <w:lvlJc w:val="left"/>
      <w:pPr>
        <w:ind w:left="6180" w:hanging="720"/>
      </w:pPr>
      <w:rPr>
        <w:rFonts w:hint="default"/>
      </w:rPr>
    </w:lvl>
    <w:lvl w:ilvl="6" w:tplc="8A18336E">
      <w:numFmt w:val="bullet"/>
      <w:lvlText w:val="•"/>
      <w:lvlJc w:val="left"/>
      <w:pPr>
        <w:ind w:left="7092" w:hanging="720"/>
      </w:pPr>
      <w:rPr>
        <w:rFonts w:hint="default"/>
      </w:rPr>
    </w:lvl>
    <w:lvl w:ilvl="7" w:tplc="650E1FCE">
      <w:numFmt w:val="bullet"/>
      <w:lvlText w:val="•"/>
      <w:lvlJc w:val="left"/>
      <w:pPr>
        <w:ind w:left="8004" w:hanging="720"/>
      </w:pPr>
      <w:rPr>
        <w:rFonts w:hint="default"/>
      </w:rPr>
    </w:lvl>
    <w:lvl w:ilvl="8" w:tplc="83D03D8A">
      <w:numFmt w:val="bullet"/>
      <w:lvlText w:val="•"/>
      <w:lvlJc w:val="left"/>
      <w:pPr>
        <w:ind w:left="8916" w:hanging="720"/>
      </w:pPr>
      <w:rPr>
        <w:rFonts w:hint="default"/>
      </w:rPr>
    </w:lvl>
  </w:abstractNum>
  <w:abstractNum w:abstractNumId="2" w15:restartNumberingAfterBreak="0">
    <w:nsid w:val="33AE6320"/>
    <w:multiLevelType w:val="hybridMultilevel"/>
    <w:tmpl w:val="3F367C52"/>
    <w:lvl w:ilvl="0" w:tplc="FA36A02A">
      <w:start w:val="1"/>
      <w:numFmt w:val="upperLetter"/>
      <w:lvlText w:val="(%1)"/>
      <w:lvlJc w:val="left"/>
      <w:pPr>
        <w:ind w:left="1585" w:hanging="3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1" w:tplc="19B0D68E">
      <w:start w:val="1"/>
      <w:numFmt w:val="decimal"/>
      <w:lvlText w:val="%2)"/>
      <w:lvlJc w:val="left"/>
      <w:pPr>
        <w:ind w:left="2071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2" w:tplc="90627234">
      <w:start w:val="1"/>
      <w:numFmt w:val="lowerLetter"/>
      <w:lvlText w:val="%3."/>
      <w:lvlJc w:val="left"/>
      <w:pPr>
        <w:ind w:left="2611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4"/>
        <w:sz w:val="23"/>
        <w:szCs w:val="23"/>
      </w:rPr>
    </w:lvl>
    <w:lvl w:ilvl="3" w:tplc="A386BA0A">
      <w:numFmt w:val="bullet"/>
      <w:lvlText w:val="•"/>
      <w:lvlJc w:val="left"/>
      <w:pPr>
        <w:ind w:left="3635" w:hanging="231"/>
      </w:pPr>
      <w:rPr>
        <w:rFonts w:hint="default"/>
      </w:rPr>
    </w:lvl>
    <w:lvl w:ilvl="4" w:tplc="A1802A92">
      <w:numFmt w:val="bullet"/>
      <w:lvlText w:val="•"/>
      <w:lvlJc w:val="left"/>
      <w:pPr>
        <w:ind w:left="4650" w:hanging="231"/>
      </w:pPr>
      <w:rPr>
        <w:rFonts w:hint="default"/>
      </w:rPr>
    </w:lvl>
    <w:lvl w:ilvl="5" w:tplc="B22483A8">
      <w:numFmt w:val="bullet"/>
      <w:lvlText w:val="•"/>
      <w:lvlJc w:val="left"/>
      <w:pPr>
        <w:ind w:left="5665" w:hanging="231"/>
      </w:pPr>
      <w:rPr>
        <w:rFonts w:hint="default"/>
      </w:rPr>
    </w:lvl>
    <w:lvl w:ilvl="6" w:tplc="5D60C936">
      <w:numFmt w:val="bullet"/>
      <w:lvlText w:val="•"/>
      <w:lvlJc w:val="left"/>
      <w:pPr>
        <w:ind w:left="6680" w:hanging="231"/>
      </w:pPr>
      <w:rPr>
        <w:rFonts w:hint="default"/>
      </w:rPr>
    </w:lvl>
    <w:lvl w:ilvl="7" w:tplc="BA0C067C">
      <w:numFmt w:val="bullet"/>
      <w:lvlText w:val="•"/>
      <w:lvlJc w:val="left"/>
      <w:pPr>
        <w:ind w:left="7695" w:hanging="231"/>
      </w:pPr>
      <w:rPr>
        <w:rFonts w:hint="default"/>
      </w:rPr>
    </w:lvl>
    <w:lvl w:ilvl="8" w:tplc="0554D254">
      <w:numFmt w:val="bullet"/>
      <w:lvlText w:val="•"/>
      <w:lvlJc w:val="left"/>
      <w:pPr>
        <w:ind w:left="8710" w:hanging="231"/>
      </w:pPr>
      <w:rPr>
        <w:rFonts w:hint="default"/>
      </w:rPr>
    </w:lvl>
  </w:abstractNum>
  <w:abstractNum w:abstractNumId="3" w15:restartNumberingAfterBreak="0">
    <w:nsid w:val="3B560075"/>
    <w:multiLevelType w:val="hybridMultilevel"/>
    <w:tmpl w:val="56961762"/>
    <w:lvl w:ilvl="0" w:tplc="4A2E381E">
      <w:numFmt w:val="bullet"/>
      <w:lvlText w:val="☐"/>
      <w:lvlJc w:val="left"/>
      <w:pPr>
        <w:ind w:left="862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</w:rPr>
    </w:lvl>
    <w:lvl w:ilvl="1" w:tplc="269EDD1E">
      <w:numFmt w:val="bullet"/>
      <w:lvlText w:val="•"/>
      <w:lvlJc w:val="left"/>
      <w:pPr>
        <w:ind w:left="1848" w:hanging="219"/>
      </w:pPr>
      <w:rPr>
        <w:rFonts w:hint="default"/>
      </w:rPr>
    </w:lvl>
    <w:lvl w:ilvl="2" w:tplc="4D0E6808">
      <w:numFmt w:val="bullet"/>
      <w:lvlText w:val="•"/>
      <w:lvlJc w:val="left"/>
      <w:pPr>
        <w:ind w:left="2836" w:hanging="219"/>
      </w:pPr>
      <w:rPr>
        <w:rFonts w:hint="default"/>
      </w:rPr>
    </w:lvl>
    <w:lvl w:ilvl="3" w:tplc="69960A00">
      <w:numFmt w:val="bullet"/>
      <w:lvlText w:val="•"/>
      <w:lvlJc w:val="left"/>
      <w:pPr>
        <w:ind w:left="3824" w:hanging="219"/>
      </w:pPr>
      <w:rPr>
        <w:rFonts w:hint="default"/>
      </w:rPr>
    </w:lvl>
    <w:lvl w:ilvl="4" w:tplc="1D36F026">
      <w:numFmt w:val="bullet"/>
      <w:lvlText w:val="•"/>
      <w:lvlJc w:val="left"/>
      <w:pPr>
        <w:ind w:left="4812" w:hanging="219"/>
      </w:pPr>
      <w:rPr>
        <w:rFonts w:hint="default"/>
      </w:rPr>
    </w:lvl>
    <w:lvl w:ilvl="5" w:tplc="9F02B5BE">
      <w:numFmt w:val="bullet"/>
      <w:lvlText w:val="•"/>
      <w:lvlJc w:val="left"/>
      <w:pPr>
        <w:ind w:left="5800" w:hanging="219"/>
      </w:pPr>
      <w:rPr>
        <w:rFonts w:hint="default"/>
      </w:rPr>
    </w:lvl>
    <w:lvl w:ilvl="6" w:tplc="C344A61A">
      <w:numFmt w:val="bullet"/>
      <w:lvlText w:val="•"/>
      <w:lvlJc w:val="left"/>
      <w:pPr>
        <w:ind w:left="6788" w:hanging="219"/>
      </w:pPr>
      <w:rPr>
        <w:rFonts w:hint="default"/>
      </w:rPr>
    </w:lvl>
    <w:lvl w:ilvl="7" w:tplc="D110FBBA">
      <w:numFmt w:val="bullet"/>
      <w:lvlText w:val="•"/>
      <w:lvlJc w:val="left"/>
      <w:pPr>
        <w:ind w:left="7776" w:hanging="219"/>
      </w:pPr>
      <w:rPr>
        <w:rFonts w:hint="default"/>
      </w:rPr>
    </w:lvl>
    <w:lvl w:ilvl="8" w:tplc="B5389CF2">
      <w:numFmt w:val="bullet"/>
      <w:lvlText w:val="•"/>
      <w:lvlJc w:val="left"/>
      <w:pPr>
        <w:ind w:left="8764" w:hanging="219"/>
      </w:pPr>
      <w:rPr>
        <w:rFonts w:hint="default"/>
      </w:rPr>
    </w:lvl>
  </w:abstractNum>
  <w:abstractNum w:abstractNumId="4" w15:restartNumberingAfterBreak="0">
    <w:nsid w:val="3C4C5E3D"/>
    <w:multiLevelType w:val="hybridMultilevel"/>
    <w:tmpl w:val="1DC681FC"/>
    <w:lvl w:ilvl="0" w:tplc="3C7CB1D2">
      <w:start w:val="1"/>
      <w:numFmt w:val="decimal"/>
      <w:lvlText w:val="%1."/>
      <w:lvlJc w:val="left"/>
      <w:pPr>
        <w:ind w:left="16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5E44BA1C">
      <w:start w:val="1"/>
      <w:numFmt w:val="lowerLetter"/>
      <w:lvlText w:val="%2."/>
      <w:lvlJc w:val="left"/>
      <w:pPr>
        <w:ind w:left="23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357E912A">
      <w:numFmt w:val="bullet"/>
      <w:lvlText w:val=""/>
      <w:lvlJc w:val="left"/>
      <w:pPr>
        <w:ind w:left="7679" w:hanging="2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3" w:tplc="9BD4C52A">
      <w:numFmt w:val="bullet"/>
      <w:lvlText w:val="•"/>
      <w:lvlJc w:val="left"/>
      <w:pPr>
        <w:ind w:left="8062" w:hanging="298"/>
      </w:pPr>
      <w:rPr>
        <w:rFonts w:hint="default"/>
      </w:rPr>
    </w:lvl>
    <w:lvl w:ilvl="4" w:tplc="64B4E9D8">
      <w:numFmt w:val="bullet"/>
      <w:lvlText w:val="•"/>
      <w:lvlJc w:val="left"/>
      <w:pPr>
        <w:ind w:left="8445" w:hanging="298"/>
      </w:pPr>
      <w:rPr>
        <w:rFonts w:hint="default"/>
      </w:rPr>
    </w:lvl>
    <w:lvl w:ilvl="5" w:tplc="820A6058">
      <w:numFmt w:val="bullet"/>
      <w:lvlText w:val="•"/>
      <w:lvlJc w:val="left"/>
      <w:pPr>
        <w:ind w:left="8827" w:hanging="298"/>
      </w:pPr>
      <w:rPr>
        <w:rFonts w:hint="default"/>
      </w:rPr>
    </w:lvl>
    <w:lvl w:ilvl="6" w:tplc="9C26C810">
      <w:numFmt w:val="bullet"/>
      <w:lvlText w:val="•"/>
      <w:lvlJc w:val="left"/>
      <w:pPr>
        <w:ind w:left="9210" w:hanging="298"/>
      </w:pPr>
      <w:rPr>
        <w:rFonts w:hint="default"/>
      </w:rPr>
    </w:lvl>
    <w:lvl w:ilvl="7" w:tplc="BAACFD8E">
      <w:numFmt w:val="bullet"/>
      <w:lvlText w:val="•"/>
      <w:lvlJc w:val="left"/>
      <w:pPr>
        <w:ind w:left="9592" w:hanging="298"/>
      </w:pPr>
      <w:rPr>
        <w:rFonts w:hint="default"/>
      </w:rPr>
    </w:lvl>
    <w:lvl w:ilvl="8" w:tplc="BDE23902">
      <w:numFmt w:val="bullet"/>
      <w:lvlText w:val="•"/>
      <w:lvlJc w:val="left"/>
      <w:pPr>
        <w:ind w:left="9975" w:hanging="298"/>
      </w:pPr>
      <w:rPr>
        <w:rFonts w:hint="default"/>
      </w:rPr>
    </w:lvl>
  </w:abstractNum>
  <w:abstractNum w:abstractNumId="5" w15:restartNumberingAfterBreak="0">
    <w:nsid w:val="43E60AD5"/>
    <w:multiLevelType w:val="hybridMultilevel"/>
    <w:tmpl w:val="861A0116"/>
    <w:lvl w:ilvl="0" w:tplc="02082AC6">
      <w:numFmt w:val="bullet"/>
      <w:lvlText w:val=""/>
      <w:lvlJc w:val="left"/>
      <w:pPr>
        <w:ind w:left="162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A0E92E4">
      <w:numFmt w:val="bullet"/>
      <w:lvlText w:val="•"/>
      <w:lvlJc w:val="left"/>
      <w:pPr>
        <w:ind w:left="2532" w:hanging="720"/>
      </w:pPr>
      <w:rPr>
        <w:rFonts w:hint="default"/>
      </w:rPr>
    </w:lvl>
    <w:lvl w:ilvl="2" w:tplc="D54A3446">
      <w:numFmt w:val="bullet"/>
      <w:lvlText w:val="•"/>
      <w:lvlJc w:val="left"/>
      <w:pPr>
        <w:ind w:left="3444" w:hanging="720"/>
      </w:pPr>
      <w:rPr>
        <w:rFonts w:hint="default"/>
      </w:rPr>
    </w:lvl>
    <w:lvl w:ilvl="3" w:tplc="C3F2CC28">
      <w:numFmt w:val="bullet"/>
      <w:lvlText w:val="•"/>
      <w:lvlJc w:val="left"/>
      <w:pPr>
        <w:ind w:left="4356" w:hanging="720"/>
      </w:pPr>
      <w:rPr>
        <w:rFonts w:hint="default"/>
      </w:rPr>
    </w:lvl>
    <w:lvl w:ilvl="4" w:tplc="8EB8A80C">
      <w:numFmt w:val="bullet"/>
      <w:lvlText w:val="•"/>
      <w:lvlJc w:val="left"/>
      <w:pPr>
        <w:ind w:left="5268" w:hanging="720"/>
      </w:pPr>
      <w:rPr>
        <w:rFonts w:hint="default"/>
      </w:rPr>
    </w:lvl>
    <w:lvl w:ilvl="5" w:tplc="7C46E8E8">
      <w:numFmt w:val="bullet"/>
      <w:lvlText w:val="•"/>
      <w:lvlJc w:val="left"/>
      <w:pPr>
        <w:ind w:left="6180" w:hanging="720"/>
      </w:pPr>
      <w:rPr>
        <w:rFonts w:hint="default"/>
      </w:rPr>
    </w:lvl>
    <w:lvl w:ilvl="6" w:tplc="993E6ED2">
      <w:numFmt w:val="bullet"/>
      <w:lvlText w:val="•"/>
      <w:lvlJc w:val="left"/>
      <w:pPr>
        <w:ind w:left="7092" w:hanging="720"/>
      </w:pPr>
      <w:rPr>
        <w:rFonts w:hint="default"/>
      </w:rPr>
    </w:lvl>
    <w:lvl w:ilvl="7" w:tplc="CA081DAC">
      <w:numFmt w:val="bullet"/>
      <w:lvlText w:val="•"/>
      <w:lvlJc w:val="left"/>
      <w:pPr>
        <w:ind w:left="8004" w:hanging="720"/>
      </w:pPr>
      <w:rPr>
        <w:rFonts w:hint="default"/>
      </w:rPr>
    </w:lvl>
    <w:lvl w:ilvl="8" w:tplc="AE764FAA">
      <w:numFmt w:val="bullet"/>
      <w:lvlText w:val="•"/>
      <w:lvlJc w:val="left"/>
      <w:pPr>
        <w:ind w:left="8916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F8F"/>
    <w:rsid w:val="00182739"/>
    <w:rsid w:val="001E59F9"/>
    <w:rsid w:val="002B00F9"/>
    <w:rsid w:val="00501CE2"/>
    <w:rsid w:val="00941F8F"/>
    <w:rsid w:val="00AF0B34"/>
    <w:rsid w:val="00D42EC4"/>
    <w:rsid w:val="00FB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6DD6"/>
  <w15:docId w15:val="{8444AA36-EC2B-43A9-8A1C-67D017A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2"/>
      <w:ind w:left="1881"/>
      <w:outlineLvl w:val="0"/>
    </w:pPr>
    <w:rPr>
      <w:rFonts w:ascii="Garamond" w:eastAsia="Garamond" w:hAnsi="Garamond" w:cs="Garamond"/>
      <w:b/>
      <w:bCs/>
      <w:sz w:val="45"/>
      <w:szCs w:val="4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5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62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B128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Los Angeles County Regional Center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Interdisciplinary Team Feedback</cp:lastModifiedBy>
  <cp:revision>4</cp:revision>
  <dcterms:created xsi:type="dcterms:W3CDTF">2022-04-05T06:35:00Z</dcterms:created>
  <dcterms:modified xsi:type="dcterms:W3CDTF">2024-04-24T04:01:00Z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